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bookmarkStart w:id="664558" w:name="_Toc0"/>
      <w:pPr>
        <w:pStyle w:val="Heading1"/>
        <w:spacing w:before="360" w:after="120"/>
        <w:jc w:val="center"/>
      </w:pPr>
      <w:r>
        <w:rPr>
          <w:rFonts w:ascii="黑体" w:hAnsi="黑体" w:eastAsia="黑体"/>
          <w:b w:val="0"/>
          <w:color w:val="1A3C6E"/>
          <w:sz w:val="44"/>
        </w:rPr>
        <w:t>中电华恒中诚华隆专项股权投资基金</w:t>
      </w:r>
      <w:bookmarkEnd w:id="664558"/>
    </w:p>
    <w:p>
      <w:bookmarkStart w:id="52187" w:name="_Toc1"/>
      <w:pPr>
        <w:pStyle w:val="Heading2"/>
        <w:spacing w:before="120" w:after="320"/>
        <w:jc w:val="center"/>
      </w:pPr>
      <w:r>
        <w:rPr>
          <w:rFonts w:ascii="黑体" w:hAnsi="黑体" w:eastAsia="黑体"/>
          <w:b w:val="0"/>
          <w:color w:val="1A3C6E"/>
          <w:sz w:val="32"/>
        </w:rPr>
        <w:t>设立方案（建议书）</w:t>
      </w:r>
      <w:bookmarkEnd w:id="52187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W w:w="4200" w:type="pct"/>
        <w:tblBorders>
          <w:top w:val="single" w:sz="8" w:space="0" w:color="1A3C6E"/>
          <w:bottom w:val="single" w:sz="8" w:space="0" w:color="1A3C6E"/>
          <w:left w:val="none" w:sz="0" w:space="0" w:color="1A3C6E"/>
          <w:right w:val="none" w:sz="0" w:space="0" w:color="1A3C6E"/>
          <w:insideH w:val="single" w:sz="4" w:space="0" w:color="1A3C6E"/>
          <w:insideV w:val="none" w:sz="0" w:space="0" w:color="1A3C6E"/>
        </w:tblBorders>
      </w:tblPr>
      <w:tblGrid>
        <w:gridCol w:w="4320"/>
        <w:gridCol w:w="4320"/>
      </w:tblGrid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方案要素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内容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基金名称（暂定）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中电华恒中诚华隆专项股权投资基金合伙企业（有限合伙）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基金管理人（GP）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中电华恒基金管理有限公司（暂定）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基金类型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私募股权投资基金 · 单一项目专项基金（有限合伙型）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投资标的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中诚华隆计算机技术有限公司 B 轮股权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目标募集规模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人民币 3 亿元（首轮关账 ≥ 1.5 亿，可扩募至 7 亿元）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标的本轮估值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投前 50 亿 / 投后 57 亿元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存续期限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2.5 + 1 年（投资期 + 退出期，可延长 1 年）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退出方式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标的 2027 年创业板 IPO，2028 年解禁退出为主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管理费 / 业绩报酬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2.0%/年 · 20%（门槛收益率 8%，全额追补）</w:t>
            </w:r>
          </w:p>
        </w:tc>
      </w:tr>
    </w:tbl>
    <w:p>
      <w:pPr>
        <w:pStyle w:val="Quote"/>
      </w:pPr>
      <w:r>
        <w:t>⚠️ 重要说明： "中电华恒基金"的既定参数（管理人资质、规模、费率、份额）未在现有材料中给出，本方案中的基金名称、规模、费率、分配机制、收益测算均为基于行业惯例搭建的建议性假设，需以最终基金合同、标的尽调结果及监管要求为准。标的相关市场、订单、财务及估值数据来源于《中诚华隆 B 轮融资项目材料》（卖方口径，未经独立审计），相关风险详见本方案第九章及《中诚华隆深度分析报告》。本方案不构成投资要约、承诺或收益保证。</w:t>
      </w:r>
    </w:p>
    <w:p>
      <w:pPr>
        <w:spacing w:before="360" w:after="360"/>
        <w:jc w:val="center"/>
        <w:pBdr>
          <w:bottom w:val="single" w:sz="6" w:space="1" w:color="1A3C6E"/>
        </w:pBdr>
      </w:pPr>
    </w:p>
    <w:p>
      <w:bookmarkStart w:id="899916" w:name="_Toc2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一、方案概述</w:t>
      </w:r>
      <w:bookmarkEnd w:id="899916"/>
    </w:p>
    <w:p>
      <w:r>
        <w:rPr>
          <w:rFonts w:ascii="微软雅黑" w:hAnsi="微软雅黑" w:eastAsia="微软雅黑"/>
        </w:rPr>
        <w:t>中电华恒基金管理有限公司（GP）拟发起设立"中电华恒中诚华隆专项股权投资基金合伙企业（有限合伙）"（以下简称"本基金"），以有限合伙形式向合格投资者募集人民币 3 亿元（可扩募），定向投资于国产全栈算力芯片企业</w:t>
      </w:r>
      <w:r>
        <w:rPr>
          <w:rFonts w:ascii="微软雅黑" w:hAnsi="微软雅黑" w:eastAsia="微软雅黑"/>
          <w:b/>
        </w:rPr>
        <w:t>中诚华隆计算机技术有限公司</w:t>
      </w:r>
      <w:r>
        <w:rPr>
          <w:rFonts w:ascii="微软雅黑" w:hAnsi="微软雅黑" w:eastAsia="微软雅黑"/>
        </w:rPr>
        <w:t>的 B 轮股权。</w:t>
      </w:r>
    </w:p>
    <w:p>
      <w:r>
        <w:rPr>
          <w:rFonts w:ascii="微软雅黑" w:hAnsi="微软雅黑" w:eastAsia="微软雅黑"/>
        </w:rPr>
        <w:t>本基金为</w:t>
      </w:r>
      <w:r>
        <w:rPr>
          <w:rFonts w:ascii="微软雅黑" w:hAnsi="微软雅黑" w:eastAsia="微软雅黑"/>
          <w:b/>
        </w:rPr>
        <w:t>单一项目专项基金</w:t>
      </w:r>
      <w:r>
        <w:rPr>
          <w:rFonts w:ascii="微软雅黑" w:hAnsi="微软雅黑" w:eastAsia="微软雅黑"/>
        </w:rPr>
        <w:t>，投资逻辑、退出路径与收益弹性均高度绑定标的的 IPO 进程：</w:t>
      </w:r>
    </w:p>
    <w:p>
      <w:pPr>
        <w:pStyle w:val="ListBullet"/>
        <w:spacing w:before="0" w:after="60" w:line="276" w:lineRule="auto"/>
      </w:pPr>
      <w:r>
        <w:t>投资节点： 2026 年 6–7 月，参与标的 B 轮（投前估值 50 亿元）；</w:t>
      </w:r>
    </w:p>
    <w:p>
      <w:pPr>
        <w:pStyle w:val="ListBullet"/>
        <w:spacing w:before="0" w:after="60" w:line="276" w:lineRule="auto"/>
      </w:pPr>
      <w:r>
        <w:t>退出节点： 标的计划 2027 年按创业板第四套标准申报并上市，2028 年投资人解禁退出；</w:t>
      </w:r>
    </w:p>
    <w:p>
      <w:pPr>
        <w:pStyle w:val="ListBullet"/>
        <w:spacing w:before="0" w:after="60" w:line="276" w:lineRule="auto"/>
      </w:pPr>
      <w:r>
        <w:t>核心定位： 把握"国产算力替代 + 信创强制替换 + 创业板第四套上市标准落地"三重红利窗口的高弹性、事件驱动型 Pre-IPO 投资。</w:t>
      </w:r>
    </w:p>
    <w:p>
      <w:bookmarkStart w:id="605817" w:name="_Toc3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二、设立背景与投资逻辑</w:t>
      </w:r>
      <w:bookmarkEnd w:id="605817"/>
    </w:p>
    <w:p>
      <w:bookmarkStart w:id="516396" w:name="_Toc4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2.1 政策与市场窗口</w:t>
      </w:r>
      <w:bookmarkEnd w:id="516396"/>
    </w:p>
    <w:p>
      <w:pPr>
        <w:pStyle w:val="ListBullet"/>
        <w:spacing w:before="0" w:after="60" w:line="276" w:lineRule="auto"/>
      </w:pPr>
      <w:r>
        <w:t>国产替代刚性需求： 中美芯片博弈下，AI 算力国产化为必行之路；信创要求 2027 年 100% 替换并纳入一把手考核。</w:t>
      </w:r>
    </w:p>
    <w:p>
      <w:pPr>
        <w:pStyle w:val="ListBullet"/>
        <w:spacing w:before="0" w:after="60" w:line="276" w:lineRule="auto"/>
      </w:pPr>
      <w:r>
        <w:t>创业板第四套标准落地： 2026.4.10 证监会新设创业板第四套上市标准（预计市值≥30 亿、最近一年收入≥2 亿、近三年收入复合增速≥30%），为未盈利硬科技企业打开上市通道——这是本基金"2.5 年退出"假设的政策基础。</w:t>
      </w:r>
    </w:p>
    <w:p>
      <w:pPr>
        <w:pStyle w:val="ListBullet"/>
        <w:spacing w:before="0" w:after="60" w:line="276" w:lineRule="auto"/>
      </w:pPr>
      <w:r>
        <w:t>赛道规模： 中国 AI 智算 GPU 市场 2024 年约 996.7 亿元，2029 年预计超 1 万亿元（CAGR 56.7%）。</w:t>
      </w:r>
    </w:p>
    <w:p>
      <w:bookmarkStart w:id="981051" w:name="_Toc5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2.2 标的核心投资亮点</w:t>
      </w:r>
      <w:bookmarkEnd w:id="981051"/>
    </w:p>
    <w:p>
      <w:pPr>
        <w:numPr>
          <w:ilvl w:val="0"/>
          <w:numId w:val="10"/>
        </w:numPr>
        <w:pStyle w:val="ListNumber"/>
        <w:spacing w:before="0" w:after="60" w:line="276" w:lineRule="auto"/>
      </w:pPr>
      <w:r>
        <w:t>技术跨越关键门槛： 首款 GPU 推理芯片 HL100 已于 2025.8 流片成功并完成硬件测试，性能接近英伟达 H20。</w:t>
      </w:r>
    </w:p>
    <w:p>
      <w:pPr>
        <w:pStyle w:val="ListNumber"/>
        <w:spacing w:before="0" w:after="60" w:line="276" w:lineRule="auto"/>
      </w:pPr>
      <w:r>
        <w:t>最高自主可控度： CPU 基于申威 SW64 + RISC-V，为国内极少数"指令集到微架构"全自主可控路线，享信创 6 家政策稀缺性。</w:t>
      </w:r>
    </w:p>
    <w:p>
      <w:pPr>
        <w:pStyle w:val="ListNumber"/>
        <w:spacing w:before="0" w:after="60" w:line="276" w:lineRule="auto"/>
      </w:pPr>
      <w:r>
        <w:t>量超融合首家： 国内首家 CPU+GPU+QPU 量超融合异构超算系统芯片企业。</w:t>
      </w:r>
    </w:p>
    <w:p>
      <w:pPr>
        <w:pStyle w:val="ListNumber"/>
        <w:spacing w:before="0" w:after="60" w:line="276" w:lineRule="auto"/>
      </w:pPr>
      <w:r>
        <w:t>渠道与团队： 入围 23 省市 48 个信创标段；沈昌祥院士任首席科学家，创始人具 30 年央企管理与上市运作经验。</w:t>
      </w:r>
    </w:p>
    <w:p>
      <w:bookmarkStart w:id="85368" w:name="_Toc6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2.3 退出确定性支撑</w:t>
      </w:r>
      <w:bookmarkEnd w:id="85368"/>
    </w:p>
    <w:p>
      <w:r>
        <w:rPr>
          <w:rFonts w:ascii="微软雅黑" w:hAnsi="微软雅黑" w:eastAsia="微软雅黑"/>
        </w:rPr>
        <w:t>标的资本运作路径清晰（中信证券等中介 2026.5 进场，2027.6 申报，2028 退出），且实控人深谙 IPO 审批与资本运作，为本基金提供了相对清晰的退出预期。</w:t>
      </w:r>
    </w:p>
    <w:p>
      <w:pPr>
        <w:pStyle w:val="Quote"/>
      </w:pPr>
      <w:r>
        <w:t>📌 风险对冲提示： 上述亮点均为标的卖方口径，本基金投资决策须以独立尽调（HL100 第三方实测、在手订单核查、审计报告）结论为准，并通过投资条款（回购、对赌、优先清算）构建下行保护。详见第九章。</w:t>
      </w:r>
    </w:p>
    <w:p>
      <w:bookmarkStart w:id="236985" w:name="_Toc7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三、基金架构</w:t>
      </w:r>
      <w:bookmarkEnd w:id="236985"/>
    </w:p>
    <w:p>
      <w:bookmarkStart w:id="113736" w:name="_Toc8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3.1 组织形式</w:t>
      </w:r>
      <w:bookmarkEnd w:id="113736"/>
    </w:p>
    <w:p>
      <w:r>
        <w:rPr>
          <w:rFonts w:ascii="微软雅黑" w:hAnsi="微软雅黑" w:eastAsia="微软雅黑"/>
        </w:rPr>
        <w:t>本基金采用</w:t>
      </w:r>
      <w:r>
        <w:rPr>
          <w:rFonts w:ascii="微软雅黑" w:hAnsi="微软雅黑" w:eastAsia="微软雅黑"/>
          <w:b/>
        </w:rPr>
        <w:t>有限合伙</w:t>
      </w:r>
      <w:r>
        <w:rPr>
          <w:rFonts w:ascii="微软雅黑" w:hAnsi="微软雅黑" w:eastAsia="微软雅黑"/>
        </w:rPr>
        <w:t>结构，由普通合伙人（GP）执行合伙事务并承担无限连带责任，有限合伙人（LP）以认缴出资额为限承担责任。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角色</w:t>
            </w:r>
          </w:p>
        </w:tc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主体</w:t>
            </w:r>
          </w:p>
        </w:tc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职责</w:t>
            </w:r>
          </w:p>
        </w:tc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出资比例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普通合伙人 GP / 执行事务合伙人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中电华恒基金管理有限公司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基金管理、投资决策、投后管理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≥ 1%（跟投）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有限合伙人 LP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机构投资者 / 高净值合格投资者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出资、享有收益分配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≤ 99%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基金管理人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中电华恒基金管理有限公司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受托管理（须完成私募基金管理人登记）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基金托管人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商业银行 / 持牌券商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资金托管、份额登记、监督划款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</w:tr>
    </w:tbl>
    <w:p>
      <w:bookmarkStart w:id="465141" w:name="_Toc9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3.2 治理结构</w:t>
      </w:r>
      <w:bookmarkEnd w:id="465141"/>
    </w:p>
    <w:p>
      <w:pPr>
        <w:pStyle w:val="ListBullet"/>
        <w:spacing w:before="0" w:after="60" w:line="276" w:lineRule="auto"/>
      </w:pPr>
      <w:r>
        <w:t>投资决策委员会（投委会）： 由 GP 委派 3–5 名成员组成，负责投资 / 退出决策，重大事项须三分之二以上通过。</w:t>
      </w:r>
    </w:p>
    <w:p>
      <w:pPr>
        <w:pStyle w:val="ListBullet"/>
        <w:spacing w:before="0" w:after="60" w:line="276" w:lineRule="auto"/>
      </w:pPr>
      <w:r>
        <w:t>合伙人会议： 审议基金重大事项（延期、提前清算、管理人变更等）。</w:t>
      </w:r>
    </w:p>
    <w:p>
      <w:pPr>
        <w:pStyle w:val="ListBullet"/>
        <w:spacing w:before="0" w:after="60" w:line="276" w:lineRule="auto"/>
      </w:pPr>
      <w:r>
        <w:t>咨询委员会（可选）： 由主要 LP 代表组成，对关联交易、利益冲突事项行使咨询 / 否决权。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W w:w="5000" w:type="pct"/>
      </w:tblPr>
      <w:tblGrid>
        <w:gridCol w:w="2880"/>
        <w:gridCol w:w="2880"/>
        <w:gridCol w:w="2880"/>
      </w:tblGrid>
      <w:tr>
        <w:tc>
          <w:tcPr>
            <w:tcW w:type="dxa" w:w="8640"/>
            <w:gridSpan w:val="3"/>
            <w:shd w:fill="2E75B6" w:val="clear"/>
          </w:tcPr>
          <w:p>
            <w:pPr>
              <w:spacing w:before="20" w:after="20"/>
              <w:jc w:val="center"/>
            </w:pPr>
            <w:r>
              <w:rPr>
                <w:color w:val="FFFFFF"/>
              </w:rPr>
            </w:r>
            <w:r>
              <w:rPr>
                <w:rFonts w:ascii="微软雅黑" w:hAnsi="微软雅黑" w:eastAsia="微软雅黑"/>
                <w:b/>
                <w:color w:val="FFFFFF"/>
                <w:sz w:val="24"/>
              </w:rPr>
              <w:t>中电华恒中诚华隆专项基金（有限合伙）</w:t>
            </w:r>
          </w:p>
        </w:tc>
      </w:tr>
      <w:tr>
        <w:tc>
          <w:tcPr>
            <w:tcW w:type="dxa" w:w="2880"/>
            <w:shd w:fill="D6E4F0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GP / 管理人</w:t>
            </w:r>
          </w:p>
          <w:p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sz w:val="20"/>
              </w:rPr>
              <w:t>中电华恒基金管理</w:t>
            </w:r>
          </w:p>
          <w:p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sz w:val="20"/>
              </w:rPr>
              <w:t>出资≥1% · 2/20</w:t>
            </w:r>
          </w:p>
        </w:tc>
        <w:tc>
          <w:tcPr>
            <w:tcW w:type="dxa" w:w="2880"/>
            <w:shd w:fill="D6E4F0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LP（合格投资者）</w:t>
            </w:r>
          </w:p>
          <w:p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sz w:val="20"/>
              </w:rPr>
              <w:t>机构 + 高净值 ≤99%</w:t>
            </w:r>
          </w:p>
          <w:p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sz w:val="20"/>
              </w:rPr>
              <w:t>认缴出资</w:t>
            </w:r>
          </w:p>
        </w:tc>
        <w:tc>
          <w:tcPr>
            <w:tcW w:type="dxa" w:w="2880"/>
            <w:shd w:fill="D6E4F0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基金托管人</w:t>
            </w:r>
          </w:p>
          <w:p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sz w:val="20"/>
              </w:rPr>
              <w:t>商业银行</w:t>
            </w:r>
          </w:p>
          <w:p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sz w:val="20"/>
              </w:rPr>
              <w:t>资金监督</w:t>
            </w:r>
          </w:p>
        </w:tc>
      </w:tr>
      <w:tr>
        <w:tc>
          <w:tcPr>
            <w:tcW w:type="dxa" w:w="8640"/>
            <w:gridSpan w:val="3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微软雅黑" w:hAnsi="微软雅黑" w:eastAsia="微软雅黑"/>
                <w:color w:val="999999"/>
                <w:sz w:val="24"/>
              </w:rPr>
              <w:t>↓</w:t>
            </w:r>
          </w:p>
        </w:tc>
      </w:tr>
      <w:tr>
        <w:tc>
          <w:tcPr>
            <w:tcW w:type="dxa" w:w="2880"/>
            <w:shd w:fill="E2EFDA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投资决策委员会</w:t>
            </w:r>
          </w:p>
        </w:tc>
        <w:tc>
          <w:tcPr>
            <w:tcW w:type="dxa" w:w="2880"/>
            <w:shd w:fill="E2EFDA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投资 7,000–30,000 万元</w:t>
            </w:r>
          </w:p>
        </w:tc>
        <w:tc>
          <w:tcPr>
            <w:tcW w:type="dxa" w:w="2880"/>
            <w:shd w:fill="E2EFDA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▶ 中诚华隆 B 轮股权</w:t>
            </w:r>
          </w:p>
        </w:tc>
      </w:tr>
      <w:tr>
        <w:tc>
          <w:tcPr>
            <w:tcW w:type="dxa" w:w="8640"/>
            <w:gridSpan w:val="3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微软雅黑" w:hAnsi="微软雅黑" w:eastAsia="微软雅黑"/>
                <w:color w:val="999999"/>
                <w:sz w:val="24"/>
              </w:rPr>
              <w:t>↓</w:t>
            </w:r>
          </w:p>
        </w:tc>
      </w:tr>
      <w:tr>
        <w:tc>
          <w:tcPr>
            <w:tcW w:type="dxa" w:w="8640"/>
            <w:gridSpan w:val="3"/>
            <w:shd w:fill="FFF2CC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2027 IPO · 2028 解禁退出</w:t>
            </w:r>
          </w:p>
        </w:tc>
      </w:tr>
    </w:tbl>
    <w:p>
      <w:bookmarkStart w:id="643477" w:name="_Toc10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四、募集方案</w:t>
      </w:r>
      <w:bookmarkEnd w:id="643477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募集要素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安排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目标规模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人民币 3 亿元（首轮关账 ≥ 1.5 亿元，可扩募至 7 亿元）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募集对象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符合《私募投资基金监督管理暂行办法》的合格投资者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单一 LP 最低认缴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人民币 1,000 万元（机构 / 高净值）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出资方式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认缴制，首期实缴 ≥ 认缴额的 60%，余额按投资进度 Capital Call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募集期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自首轮关账起不超过 6 个月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合格投资者要求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净资产≥1000 万元（机构）/ 金融资产≥300 万元或近三年年均收入≥50 万元（个人），单笔≥100 万元</w:t>
            </w:r>
          </w:p>
        </w:tc>
      </w:tr>
    </w:tbl>
    <w:p>
      <w:pPr>
        <w:pStyle w:val="Quote"/>
      </w:pPr>
      <w:r>
        <w:t>合规要点： 管理人须完成中基协私募基金管理人登记，基金完成产品备案；履行合格投资者认定、风险揭示、双录、冷静期等程序；穿透核查最终投资者人数（合伙型≤50 人）。</w:t>
      </w:r>
    </w:p>
    <w:p>
      <w:bookmarkStart w:id="827284" w:name="_Toc11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五、投资方案</w:t>
      </w:r>
      <w:bookmarkEnd w:id="827284"/>
    </w:p>
    <w:p>
      <w:bookmarkStart w:id="953892" w:name="_Toc12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5.1 投资标的与定价</w:t>
      </w:r>
      <w:bookmarkEnd w:id="953892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项目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内容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投资标的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中诚华隆计算机技术有限公司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投资轮次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B 轮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投前估值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50 亿元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投后估值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57 亿元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本轮融资总额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 亿元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本基金拟投金额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 亿元（基准；视募集规模 0.7–7 亿元）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对应投后股权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约 5.26%（按 3 亿 / 57 亿测算）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投资工具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受让新增注册资本 / 增资入股（普通股或优先股）</w:t>
            </w:r>
          </w:p>
        </w:tc>
      </w:tr>
    </w:tbl>
    <w:p>
      <w:bookmarkStart w:id="578994" w:name="_Toc13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5.2 核心投资条款（拟争取）</w:t>
      </w:r>
      <w:bookmarkEnd w:id="578994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条款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内容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估值调整（对赌）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以 2026 年营业收入 ≥ 2 亿元、HL100 量产交付为业绩承诺；未达标触发估值补偿 / 股权补偿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回购权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若标的 2028 年底前未完成 IPO 申报 / 上市，投资人有权要求实控人按"投资本金 + 年化 8–10% 单利"回购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优先清算权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清算 / 并购退出时优先于普通股取得不低于 1 倍投资额回报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反稀释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后续融资低于本轮价格时享有加权平均反稀释保护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优先认购权 / 跟售 / 领售权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后续融资优先认购；老股转让的共同出售与拖售权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知情权与董事 / 观察员席位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取得财务与重大经营信息知情权；争取 1 名董事或董事会观察员席位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资金用途限制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募集资金专项用于芯片研发、设计与生产，禁止变相分红 / 关联输送</w:t>
            </w:r>
          </w:p>
        </w:tc>
      </w:tr>
    </w:tbl>
    <w:p>
      <w:pPr>
        <w:pStyle w:val="Quote"/>
      </w:pPr>
      <w:r>
        <w:t>说明： 单一项目专项基金的下行保护核心在于回购 + 对赌 + 优先清算三层条款。需在投资协议中明确回购触发条件、责任主体（实控人 / 标的）、连带担保及可执行性。</w:t>
      </w:r>
    </w:p>
    <w:p>
      <w:bookmarkStart w:id="627098" w:name="_Toc14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六、收益分配机制</w:t>
      </w:r>
      <w:bookmarkEnd w:id="627098"/>
    </w:p>
    <w:p>
      <w:bookmarkStart w:id="487235" w:name="_Toc15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6.1 费用与报酬</w:t>
      </w:r>
      <w:bookmarkEnd w:id="487235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项目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标准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管理费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2.0%/年（投资期按认缴出资计提，退出期按尚未退出的实缴成本计提）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业绩报酬（Carry）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超额收益的 20%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门槛收益率（Hurdle）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8%/年（单利）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GP 追补（Catch-up）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全额追补（达到门槛后 GP 100% 追补至超额部分的 20%）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托管费 / 行政费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约 0.1%–0.3%/年（据托管协议）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GP 强制跟投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≥ 基金规模的 1%，利益绑定</w:t>
            </w:r>
          </w:p>
        </w:tc>
      </w:tr>
    </w:tbl>
    <w:p>
      <w:bookmarkStart w:id="323800" w:name="_Toc16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6.2 收益分配瀑布（Distribution Waterfall）</w:t>
      </w:r>
      <w:bookmarkEnd w:id="323800"/>
    </w:p>
    <w:p>
      <w:r>
        <w:rPr>
          <w:rFonts w:ascii="微软雅黑" w:hAnsi="微软雅黑" w:eastAsia="微软雅黑"/>
        </w:rPr>
        <w:t>基金退出所得资金按以下顺序分配：</w:t>
      </w:r>
    </w:p>
    <w:p>
      <w:pPr>
        <w:numPr>
          <w:ilvl w:val="0"/>
          <w:numId w:val="11"/>
        </w:numPr>
        <w:pStyle w:val="ListNumber"/>
        <w:spacing w:before="0" w:after="60" w:line="276" w:lineRule="auto"/>
      </w:pPr>
      <w:r>
        <w:t>返还本金： 向全体 LP 返还其全部实缴出资；</w:t>
      </w:r>
    </w:p>
    <w:p>
      <w:pPr>
        <w:pStyle w:val="ListNumber"/>
        <w:spacing w:before="0" w:after="60" w:line="276" w:lineRule="auto"/>
      </w:pPr>
      <w:r>
        <w:t>门槛收益： 向 LP 分配年化 8%（单利）的优先回报；</w:t>
      </w:r>
    </w:p>
    <w:p>
      <w:pPr>
        <w:pStyle w:val="ListNumber"/>
        <w:spacing w:before="0" w:after="60" w:line="276" w:lineRule="auto"/>
      </w:pPr>
      <w:r>
        <w:t>GP 追补： 超额部分先 100% 分配给 GP，直至 GP 取得"门槛收益 + 追补"合计部分的 20%；</w:t>
      </w:r>
    </w:p>
    <w:p>
      <w:pPr>
        <w:pStyle w:val="ListNumber"/>
        <w:spacing w:before="0" w:after="60" w:line="276" w:lineRule="auto"/>
      </w:pPr>
      <w:r>
        <w:t>超额分成： 剩余收益按 LP 80% / GP 20% 分配。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W w:w="5000" w:type="pct"/>
      </w:tblPr>
      <w:tblGrid>
        <w:gridCol w:w="8640"/>
      </w:tblGrid>
      <w:tr>
        <w:tc>
          <w:tcPr>
            <w:tcW w:type="dxa" w:w="8640"/>
            <w:shd w:fill="2E75B6" w:val="clear"/>
          </w:tcPr>
          <w:p>
            <w:pPr>
              <w:spacing w:before="20" w:after="20"/>
              <w:jc w:val="center"/>
            </w:pPr>
            <w:r>
              <w:rPr>
                <w:color w:val="FFFFFF"/>
              </w:rPr>
            </w:r>
            <w:r>
              <w:rPr>
                <w:rFonts w:ascii="微软雅黑" w:hAnsi="微软雅黑" w:eastAsia="微软雅黑"/>
                <w:b/>
                <w:color w:val="FFFFFF"/>
                <w:sz w:val="24"/>
              </w:rPr>
              <w:t>退出回款</w:t>
            </w:r>
          </w:p>
        </w:tc>
      </w:tr>
      <w:tr>
        <w:tc>
          <w:tcPr>
            <w:tcW w:type="dxa" w:w="8640"/>
            <w:shd w:fill="D6E4F0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第1层  返还 LP 实缴本金（100% → LP）</w:t>
            </w:r>
          </w:p>
        </w:tc>
      </w:tr>
      <w:tr>
        <w:tc>
          <w:tcPr>
            <w:tcW w:type="dxa" w:w="8640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微软雅黑" w:hAnsi="微软雅黑" w:eastAsia="微软雅黑"/>
                <w:color w:val="999999"/>
                <w:sz w:val="24"/>
              </w:rPr>
              <w:t>↓</w:t>
            </w:r>
          </w:p>
        </w:tc>
      </w:tr>
      <w:tr>
        <w:tc>
          <w:tcPr>
            <w:tcW w:type="dxa" w:w="8640"/>
            <w:shd w:fill="E2EFDA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第2层  门槛收益 8%/年（100% → LP）</w:t>
            </w:r>
          </w:p>
        </w:tc>
      </w:tr>
      <w:tr>
        <w:tc>
          <w:tcPr>
            <w:tcW w:type="dxa" w:w="8640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微软雅黑" w:hAnsi="微软雅黑" w:eastAsia="微软雅黑"/>
                <w:color w:val="999999"/>
                <w:sz w:val="24"/>
              </w:rPr>
              <w:t>↓</w:t>
            </w:r>
          </w:p>
        </w:tc>
      </w:tr>
      <w:tr>
        <w:tc>
          <w:tcPr>
            <w:tcW w:type="dxa" w:w="8640"/>
            <w:shd w:fill="FFF2CC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第3层  GP 追补 Catch-up（100% → GP，至超额的 20%）</w:t>
            </w:r>
          </w:p>
        </w:tc>
      </w:tr>
      <w:tr>
        <w:tc>
          <w:tcPr>
            <w:tcW w:type="dxa" w:w="8640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微软雅黑" w:hAnsi="微软雅黑" w:eastAsia="微软雅黑"/>
                <w:color w:val="999999"/>
                <w:sz w:val="24"/>
              </w:rPr>
              <w:t>↓</w:t>
            </w:r>
          </w:p>
        </w:tc>
      </w:tr>
      <w:tr>
        <w:tc>
          <w:tcPr>
            <w:tcW w:type="dxa" w:w="8640"/>
            <w:shd w:fill="FCE4EC" w:val="clear"/>
          </w:tcPr>
          <w:p>
            <w:pPr>
              <w:spacing w:before="20" w:after="20"/>
              <w:jc w:val="center"/>
            </w:pPr>
            <w:r/>
            <w:r>
              <w:rPr>
                <w:rFonts w:ascii="微软雅黑" w:hAnsi="微软雅黑" w:eastAsia="微软雅黑"/>
                <w:b w:val="0"/>
                <w:sz w:val="20"/>
              </w:rPr>
              <w:t>第4层  剩余超额收益（80% → LP / 20% → GP）</w:t>
            </w:r>
          </w:p>
        </w:tc>
      </w:tr>
    </w:tbl>
    <w:p>
      <w:bookmarkStart w:id="252158" w:name="_Toc17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七、投资收益测算</w:t>
      </w:r>
      <w:bookmarkEnd w:id="252158"/>
    </w:p>
    <w:p>
      <w:pPr>
        <w:pStyle w:val="Quote"/>
      </w:pPr>
      <w:r>
        <w:t>以下测算基于标的融资材料的退出假设（卖方口径，极度乐观，仅供参考），并以本基金投资 3 亿元 为基准。为审慎起见，另列示一档独立下行情景。</w:t>
      </w:r>
    </w:p>
    <w:p>
      <w:bookmarkStart w:id="533801" w:name="_Toc18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7.1 标的层面退出假设（卖方口径）</w:t>
      </w:r>
      <w:bookmarkEnd w:id="533801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情景</w:t>
            </w:r>
          </w:p>
        </w:tc>
        <w:tc>
          <w:tcPr>
            <w:tcW w:type="dxa" w:w="1728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退出 P/S</w:t>
            </w:r>
          </w:p>
        </w:tc>
        <w:tc>
          <w:tcPr>
            <w:tcW w:type="dxa" w:w="1728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2028 预测收入(亿)</w:t>
            </w:r>
          </w:p>
        </w:tc>
        <w:tc>
          <w:tcPr>
            <w:tcW w:type="dxa" w:w="1728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退出市值(亿)</w:t>
            </w:r>
          </w:p>
        </w:tc>
        <w:tc>
          <w:tcPr>
            <w:tcW w:type="dxa" w:w="1728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单位投资毛回报倍数(MOIC)</w:t>
            </w:r>
          </w:p>
        </w:tc>
      </w:tr>
      <w:tr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悲观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25x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21.2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550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7.24x</w:t>
            </w:r>
          </w:p>
        </w:tc>
      </w:tr>
      <w:tr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中性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40x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21.2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900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11.84x</w:t>
            </w:r>
          </w:p>
        </w:tc>
      </w:tr>
      <w:tr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乐观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55x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21.2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1,200</w:t>
            </w:r>
          </w:p>
        </w:tc>
        <w:tc>
          <w:tcPr>
            <w:tcW w:type="dxa" w:w="1728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15.79x</w:t>
            </w:r>
          </w:p>
        </w:tc>
      </w:tr>
    </w:tbl>
    <w:p>
      <w:pPr>
        <w:pStyle w:val="Quote"/>
      </w:pPr>
      <w:r>
        <w:t>注：MOIC = 标的口径"持股价值 / 投资额"；考虑 IPO 稀释 25% 后的退出口径。</w:t>
      </w:r>
    </w:p>
    <w:p>
      <w:bookmarkStart w:id="639649" w:name="_Toc19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7.2 本基金 LP 净收益测算（投资 3 亿元，扣除 2% 管理费 + 20% Carry，持有 2.5 年）</w:t>
      </w:r>
      <w:bookmarkEnd w:id="639649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情景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毛回款(亿)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毛收益(亿)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减管理费(亿)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减 Carry(亿)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LP 净回款(亿)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LP 净倍数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LP 净年化 IRR*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悲观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21.72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18.72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0.15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3.71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17.86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5.95x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约 104%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中性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35.53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32.53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0.15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6.48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28.90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9.63x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约 147%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乐观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47.37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44.37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0.15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8.84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38.38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12.79x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约 177%</w:t>
            </w:r>
          </w:p>
        </w:tc>
      </w:tr>
    </w:tbl>
    <w:p>
      <w:pPr>
        <w:pStyle w:val="Quote"/>
      </w:pPr>
      <w:r>
        <w:t>*IRR 为按 2.5 年持有期的近似年化值；管理费按 2%×3 亿×2.5 年≈0.15 亿粗略计列。上述净收益建立在标的如期 IPO、收入兑现、退出估值维持高位等一系列乐观假设之上。</w:t>
      </w:r>
    </w:p>
    <w:p>
      <w:bookmarkStart w:id="84115" w:name="_Toc20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7.3 独立下行 / 压力情景（非卖方口径，审慎参考）</w:t>
      </w:r>
      <w:bookmarkEnd w:id="84115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情景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假设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LP 结果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IPO 延迟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2029–2030 才上市，退出 P/S 压缩至 12x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LP 净倍数约 2.5–3.0x，IRR 显著下降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IPO 失败 · 触发回购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实控人按本金 + 8%/年单利回购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LP 约 1.2x（取决于回购方履约能力）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回购违约 / 减值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标的经营恶化、回购无法执行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可能本金部分 / 全部损失</w:t>
            </w:r>
          </w:p>
        </w:tc>
      </w:tr>
    </w:tbl>
    <w:p>
      <w:pPr>
        <w:pStyle w:val="Quote"/>
      </w:pPr>
      <w:r>
        <w:t>🚩 核心判断： 本基金本质是对"收入高速兑现 + 旗舰产品按期量产 + 2027 顺利 IPO"三重条件的看涨期权，上行弹性极大但下行保护依赖回购条款的可执行性。建议以概率加权看待收益，并将回购主体履约能力作为投资决策的关键变量。</w:t>
      </w:r>
    </w:p>
    <w:p>
      <w:bookmarkStart w:id="352904" w:name="_Toc21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八、退出安排</w:t>
      </w:r>
      <w:bookmarkEnd w:id="352904"/>
    </w:p>
    <w:p>
      <w:bookmarkStart w:id="473327" w:name="_Toc22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8.1 主退出路径：IPO</w:t>
      </w:r>
      <w:bookmarkEnd w:id="473327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时间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里程碑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2026.5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中信证券等中介机构进场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2026.7–8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完成 B/B+ 轮融资，启动并完成股改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2026.9–10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提交辅导备案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2026.12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Pre-IPO 融资完成（预计投后估值约 200 亿）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2027.3–4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完成辅导验收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2027.6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向交易所正式申报 IPO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2028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锁定期满，投资人解禁、二级市场减持退出</w:t>
            </w:r>
          </w:p>
        </w:tc>
      </w:tr>
    </w:tbl>
    <w:p>
      <w:bookmarkStart w:id="262359" w:name="_Toc23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8.2 备选退出路径</w:t>
      </w:r>
      <w:bookmarkEnd w:id="262359"/>
    </w:p>
    <w:p>
      <w:pPr>
        <w:pStyle w:val="ListBullet"/>
        <w:spacing w:before="0" w:after="60" w:line="276" w:lineRule="auto"/>
      </w:pPr>
      <w:r>
        <w:t>老股转让： 上市前向 Pre-IPO 轮 / 战略投资人转让全部或部分老股，提前锁定收益；</w:t>
      </w:r>
    </w:p>
    <w:p>
      <w:pPr>
        <w:pStyle w:val="ListBullet"/>
        <w:spacing w:before="0" w:after="60" w:line="276" w:lineRule="auto"/>
      </w:pPr>
      <w:r>
        <w:t>股权回购： 触发回购条款时由实控人 / 标的回购；</w:t>
      </w:r>
    </w:p>
    <w:p>
      <w:pPr>
        <w:pStyle w:val="ListBullet"/>
        <w:spacing w:before="0" w:after="60" w:line="276" w:lineRule="auto"/>
      </w:pPr>
      <w:r>
        <w:t>并购退出： 被产业方 / 央国企平台并购；</w:t>
      </w:r>
    </w:p>
    <w:p>
      <w:pPr>
        <w:pStyle w:val="ListBullet"/>
        <w:spacing w:before="0" w:after="60" w:line="276" w:lineRule="auto"/>
      </w:pPr>
      <w:r>
        <w:t>份额转让： S 基金 / 二手份额市场转让 LP 份额。</w:t>
      </w:r>
    </w:p>
    <w:p>
      <w:bookmarkStart w:id="902404" w:name="_Toc24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九、风险揭示与风险控制</w:t>
      </w:r>
      <w:bookmarkEnd w:id="902404"/>
    </w:p>
    <w:p>
      <w:bookmarkStart w:id="693539" w:name="_Toc25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9.1 主要风险（基于独立分析）</w:t>
      </w:r>
      <w:bookmarkEnd w:id="693539"/>
    </w:p>
    <w:p>
      <w:pPr>
        <w:pStyle w:val="ListBullet"/>
        <w:spacing w:before="0" w:after="60" w:line="276" w:lineRule="auto"/>
      </w:pPr>
      <w:r>
        <w:t>技术与量产风险： HL100 仅完成流片 + 硬件测试，旗舰 HL200/崆峒7000 关键性能为目标值，存在跳票与良率风险；</w:t>
      </w:r>
    </w:p>
    <w:p>
      <w:pPr>
        <w:pStyle w:val="ListBullet"/>
        <w:spacing w:before="0" w:after="60" w:line="276" w:lineRule="auto"/>
      </w:pPr>
      <w:r>
        <w:t>财务风险： 标的报告期连续亏损（2026E −5.18 亿、2027E −4.74 亿），研发费用率超 100%，依赖持续融资；</w:t>
      </w:r>
    </w:p>
    <w:p>
      <w:pPr>
        <w:pStyle w:val="ListBullet"/>
        <w:spacing w:before="0" w:after="60" w:line="276" w:lineRule="auto"/>
      </w:pPr>
      <w:r>
        <w:t>订单质量风险： 巨额"意向订单"（整机 46 亿 / 芯片 70 亿）多为意向，实际在手仅约 7 亿；</w:t>
      </w:r>
    </w:p>
    <w:p>
      <w:pPr>
        <w:pStyle w:val="ListBullet"/>
        <w:spacing w:before="0" w:after="60" w:line="276" w:lineRule="auto"/>
      </w:pPr>
      <w:r>
        <w:t>退出风险： 高度依赖 2027 IPO 成功与市场窗口，同业近期密集上市或压制估值；</w:t>
      </w:r>
    </w:p>
    <w:p>
      <w:pPr>
        <w:pStyle w:val="ListBullet"/>
        <w:spacing w:before="0" w:after="60" w:line="276" w:lineRule="auto"/>
      </w:pPr>
      <w:r>
        <w:t>估值风险： 50 亿投前对应 65x+ PS（未盈利），安全边际薄；</w:t>
      </w:r>
    </w:p>
    <w:p>
      <w:pPr>
        <w:pStyle w:val="ListBullet"/>
        <w:spacing w:before="0" w:after="60" w:line="276" w:lineRule="auto"/>
      </w:pPr>
      <w:r>
        <w:t>流动性风险： 专项基金无中途赎回，封闭运作至退出；</w:t>
      </w:r>
    </w:p>
    <w:p>
      <w:pPr>
        <w:pStyle w:val="ListBullet"/>
        <w:spacing w:before="0" w:after="60" w:line="276" w:lineRule="auto"/>
      </w:pPr>
      <w:r>
        <w:t>集中度风险： 单一项目、单一行业，无分散效应。</w:t>
      </w:r>
    </w:p>
    <w:p>
      <w:bookmarkStart w:id="280122" w:name="_Toc26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9.2 风险控制措施</w:t>
      </w:r>
      <w:bookmarkEnd w:id="280122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阶段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措施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投前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委托第三方对 HL100 流片样片实测；核查在手订单合同与回款；审阅审计报告与现金跑道；申威 SW64 授权尽调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通过对赌 / 回购 / 优先清算 / 反稀释条款构建下行保护；分期出资（Capital Call）控制节奏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投后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争取董事 / 观察员席位与知情权；季度跟踪经营与 IPO 进度；监控募集资金专款专用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退出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设置多元退出预案（IPO / 老股转让 / 回购 / 并购）；密切跟踪解禁与减持窗口</w:t>
            </w:r>
          </w:p>
        </w:tc>
      </w:tr>
    </w:tbl>
    <w:p>
      <w:bookmarkStart w:id="451051" w:name="_Toc27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十、时间安排</w:t>
      </w:r>
      <w:bookmarkEnd w:id="451051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阶段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时间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工作内容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基金设立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2026.5–6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管理人登记、基金合同、合伙企业设立、托管协议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募集与关账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2026.6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合格投资者募集、首轮关账、产品备案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投资交割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2026.6–7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完成标的尽调、签署投资协议、增资交割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投后管理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2026.7–2028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经营跟踪、IPO 进程监督、条款执行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退出分配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2028 起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解禁减持 / 老股转让，按瀑布分配，基金清算</w:t>
            </w:r>
          </w:p>
        </w:tc>
      </w:tr>
    </w:tbl>
    <w:p>
      <w:bookmarkStart w:id="438809" w:name="_Toc28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十一、关键条款清单（Term Sheet 摘要）</w:t>
      </w:r>
      <w:bookmarkEnd w:id="438809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条款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约定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基金规模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目标 3 亿元（1.5 亿首关，可扩募至 7 亿）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存续期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2.5 + 1 年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管理费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2.0%/年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业绩报酬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20%（8% 门槛 + 全额追补）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GP 跟投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≥ 1%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出资方式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认缴制，首期≥60%，余额 Capital Call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最低认缴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1,000 万元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分配机制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本金 → 8% 门槛 → GP 追补 → 80/20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下行保护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回购 + 对赌 + 优先清算 + 反稀释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退出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IPO 为主，老股转让 / 回购 / 并购为辅</w:t>
            </w:r>
          </w:p>
        </w:tc>
      </w:tr>
    </w:tbl>
    <w:p>
      <w:bookmarkStart w:id="619432" w:name="_Toc29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十二、重要声明</w:t>
      </w:r>
      <w:bookmarkEnd w:id="619432"/>
    </w:p>
    <w:p>
      <w:pPr>
        <w:numPr>
          <w:ilvl w:val="0"/>
          <w:numId w:val="12"/>
        </w:numPr>
        <w:pStyle w:val="ListNumber"/>
        <w:spacing w:before="0" w:after="60" w:line="276" w:lineRule="auto"/>
      </w:pPr>
      <w:r>
        <w:t>本方案为基金设立的建议性框架，所有商业条款以最终《合伙协议》《基金合同》《投资协议》及监管备案为准。</w:t>
      </w:r>
    </w:p>
    <w:p>
      <w:pPr>
        <w:pStyle w:val="ListNumber"/>
        <w:spacing w:before="0" w:after="60" w:line="276" w:lineRule="auto"/>
      </w:pPr>
      <w:r>
        <w:t>文中"中电华恒基金"相关参数（管理人、规模、费率等）为假设性搭建，需根据实际主体与监管要求调整。</w:t>
      </w:r>
    </w:p>
    <w:p>
      <w:pPr>
        <w:pStyle w:val="ListNumber"/>
        <w:spacing w:before="0" w:after="60" w:line="276" w:lineRule="auto"/>
      </w:pPr>
      <w:r>
        <w:t>标的市场、订单、财务、估值及退出数据来源于标的方提供的融资材料，未经独立审计与第三方核实，存在重大不确定性。</w:t>
      </w:r>
    </w:p>
    <w:p>
      <w:pPr>
        <w:pStyle w:val="ListNumber"/>
        <w:spacing w:before="0" w:after="60" w:line="276" w:lineRule="auto"/>
      </w:pPr>
      <w:r>
        <w:t>收益测算为情景模拟，不代表实际收益，不构成收益承诺或保证。私募股权投资具有高风险，可能导致本金部分或全部损失。</w:t>
      </w:r>
    </w:p>
    <w:p>
      <w:pPr>
        <w:pStyle w:val="ListNumber"/>
        <w:spacing w:before="0" w:after="60" w:line="276" w:lineRule="auto"/>
      </w:pPr>
      <w:r>
        <w:t>本方案不构成任何投资要约、招揽或投资建议。投资者应独立判断并自行承担投资风险。</w:t>
      </w:r>
    </w:p>
    <w:p>
      <w:r>
        <w:rPr>
          <w:rFonts w:ascii="微软雅黑" w:hAnsi="微软雅黑" w:eastAsia="微软雅黑"/>
        </w:rPr>
        <w:t>编制依据：《中诚华隆 B 轮融资项目材料》（47 页，2026.06.13）及《中诚华隆深度分析报告》 · 本方案由 AI 辅助生成，仅供内部研究与决策参考。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微软雅黑" w:hAnsi="微软雅黑" w:eastAsia="微软雅黑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i/>
      <w:iCs/>
      <w:color w:val="1A3C6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60" w:line="276" w:lineRule="auto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60" w:line="276" w:lineRule="auto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