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pPr>
        <w:spacing w:before="0" w:after="0"/>
      </w:pPr>
      <w:r>
        <w:rPr>
          <w:sz w:val="24"/>
        </w:rPr>
        <w:t xml:space="preserve"> </w:t>
      </w:r>
    </w:p>
    <w:p>
      <w:bookmarkStart w:id="17479" w:name="_Toc0"/>
      <w:pPr>
        <w:pStyle w:val="Heading1"/>
        <w:spacing w:before="360" w:after="120"/>
        <w:jc w:val="center"/>
      </w:pPr>
      <w:r>
        <w:rPr>
          <w:rFonts w:ascii="黑体" w:hAnsi="黑体" w:eastAsia="黑体"/>
          <w:b w:val="0"/>
          <w:color w:val="1A3C6E"/>
          <w:sz w:val="44"/>
        </w:rPr>
        <w:t>中诚华隆计算机技术有限公司 · B 轮融资深度分析报告</w:t>
      </w:r>
      <w:bookmarkEnd w:id="17479"/>
    </w:p>
    <w:p>
      <w:pPr>
        <w:pStyle w:val="Quote"/>
      </w:pPr>
      <w:r>
        <w:t>主题： 自主中国芯 · 智算新世界</w:t>
      </w:r>
    </w:p>
    <w:p>
      <w:pPr>
        <w:pStyle w:val="Quote"/>
      </w:pPr>
      <w:r>
        <w:t>定位： 国产 "芯片 + 整机 + 解决方案" 全栈自主可控厂商，主打 GPU（隆威 HL 系列）、CPU（崆峒 / 申威 SW64+RISC-V）与超导量子 QPU，定位信创与国家算力网建设主力军。</w:t>
      </w:r>
    </w:p>
    <w:p>
      <w:pPr>
        <w:pStyle w:val="Quote"/>
      </w:pPr>
      <w:r>
        <w:t>本报告基于其 B 轮融资材料（47 页），并叠加独立尽调视角进行批判性分析。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W w:w="4200" w:type="pct"/>
        <w:tblBorders>
          <w:top w:val="single" w:sz="8" w:space="0" w:color="1A3C6E"/>
          <w:bottom w:val="single" w:sz="8" w:space="0" w:color="1A3C6E"/>
          <w:left w:val="none" w:sz="0" w:space="0" w:color="1A3C6E"/>
          <w:right w:val="none" w:sz="0" w:space="0" w:color="1A3C6E"/>
          <w:insideH w:val="single" w:sz="4" w:space="0" w:color="1A3C6E"/>
          <w:insideV w:val="none" w:sz="0" w:space="0" w:color="1A3C6E"/>
        </w:tblBorders>
      </w:tblPr>
      <w:tblGrid>
        <w:gridCol w:w="4320"/>
        <w:gridCol w:w="4320"/>
      </w:tblGrid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关键信息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内容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成立时间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2017.10.24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实际控制人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王嘉诚（持股 62.5155%）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本轮 投前估值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50 亿元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拟融资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 亿元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拟上市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2027 年 创业板第四套标准</w:t>
            </w:r>
          </w:p>
        </w:tc>
      </w:tr>
    </w:tbl>
    <w:p>
      <w:pPr>
        <w:pStyle w:val="Quote"/>
      </w:pPr>
      <w:r>
        <w:t>⚠️ 重要提示： 本文所引用的市场规模、订单、财务预测、估值与收益倍数均来源于公司融资路演材料（卖方口径，含强烈营销倾向），未经独立审计与第三方验证。本报告中的"独立评估 / 风险揭示"为分析判断，不构成任何投资建议。</w:t>
      </w:r>
    </w:p>
    <w:p>
      <w:pPr>
        <w:spacing w:before="360" w:after="360"/>
        <w:jc w:val="center"/>
        <w:pBdr>
          <w:bottom w:val="single" w:sz="6" w:space="1" w:color="1A3C6E"/>
        </w:pBdr>
      </w:pPr>
    </w:p>
    <w:p>
      <w:bookmarkStart w:id="404340" w:name="_Toc1"/>
      <w:pPr>
        <w:pStyle w:val="Heading2"/>
        <w:spacing w:before="120" w:after="320"/>
        <w:jc w:val="center"/>
      </w:pPr>
      <w:r>
        <w:rPr>
          <w:rFonts w:ascii="黑体" w:hAnsi="黑体" w:eastAsia="黑体"/>
          <w:b w:val="0"/>
          <w:color w:val="1A3C6E"/>
          <w:sz w:val="32"/>
        </w:rPr>
        <w:t>一、一页摘要（Executive Summary）</w:t>
      </w:r>
      <w:bookmarkEnd w:id="404340"/>
    </w:p>
    <w:p>
      <w:r>
        <w:rPr>
          <w:rFonts w:ascii="微软雅黑" w:hAnsi="微软雅黑" w:eastAsia="微软雅黑"/>
        </w:rPr>
        <w:t>中诚华隆是一家以"全栈自主可控"为核心叙事的国产算力芯片企业，背靠申威 SW64 指令集与沈昌祥院士的可信计算技术，叠加信创强制替代与"十五五"政策红利。其商业故事具备高弹性，但也呈现典型早期硬科技项目的高风险特征：巨额研发投入、报告期内连续亏损、收入与估值高度依赖未来订单兑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W w:w="4200" w:type="pct"/>
        <w:tblBorders>
          <w:top w:val="single" w:sz="8" w:space="0" w:color="1A3C6E"/>
          <w:bottom w:val="single" w:sz="8" w:space="0" w:color="1A3C6E"/>
          <w:left w:val="none" w:sz="0" w:space="0" w:color="1A3C6E"/>
          <w:right w:val="none" w:sz="0" w:space="0" w:color="1A3C6E"/>
          <w:insideH w:val="single" w:sz="4" w:space="0" w:color="1A3C6E"/>
          <w:insideV w:val="none" w:sz="0" w:space="0" w:color="1A3C6E"/>
        </w:tblBorders>
      </w:tblPr>
      <w:tblGrid>
        <w:gridCol w:w="4320"/>
        <w:gridCol w:w="4320"/>
      </w:tblGrid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核心指标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数值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累计专利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186 项（含发明 176 项 / 芯片发明 167 项）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已签约在手订单（公司口径）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≈ 7 亿元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信创入围中标覆盖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23 省市 / 48 标段</w:t>
            </w:r>
          </w:p>
        </w:tc>
      </w:tr>
      <w:tr>
        <w:tc>
          <w:tcPr>
            <w:tcW w:type="dxa" w:w="4320"/>
            <w:shd w:fill="D6E0EE" w:val="clear"/>
            <w:tcW w:w="2200" w:type="dxa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中性退出收益倍数（卖方测算）</w:t>
            </w:r>
          </w:p>
        </w:tc>
        <w:tc>
          <w:tcPr>
            <w:tcW w:type="dxa" w:w="4320"/>
            <w:shd w:fill="F4F7FB" w:val="clear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10.84x</w:t>
            </w:r>
          </w:p>
        </w:tc>
      </w:tr>
    </w:tbl>
    <w:p>
      <w:bookmarkStart w:id="246855" w:name="_Toc2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✅ 核心多头逻辑</w:t>
      </w:r>
      <w:bookmarkEnd w:id="246855"/>
    </w:p>
    <w:p>
      <w:pPr>
        <w:pStyle w:val="ListBullet"/>
        <w:spacing w:before="0" w:after="60" w:line="276" w:lineRule="auto"/>
      </w:pPr>
      <w:r>
        <w:t>首款 GPU 推理芯片 HL100 已成功流片并完成硬件测试，跨越最高风险的纯研发阶段</w:t>
      </w:r>
    </w:p>
    <w:p>
      <w:pPr>
        <w:pStyle w:val="ListBullet"/>
        <w:spacing w:before="0" w:after="60" w:line="276" w:lineRule="auto"/>
      </w:pPr>
      <w:r>
        <w:t>CPU 基于申威 SW64+RISC-V，是国内极少数"指令集到微架构全自主可控"路线</w:t>
      </w:r>
    </w:p>
    <w:p>
      <w:pPr>
        <w:pStyle w:val="ListBullet"/>
        <w:spacing w:before="0" w:after="60" w:line="276" w:lineRule="auto"/>
      </w:pPr>
      <w:r>
        <w:t>深度绑定信创强制替代（2027 年 100% 替换）与超大型央企采购意向</w:t>
      </w:r>
    </w:p>
    <w:p>
      <w:pPr>
        <w:pStyle w:val="ListBullet"/>
        <w:spacing w:before="0" w:after="60" w:line="276" w:lineRule="auto"/>
      </w:pPr>
      <w:r>
        <w:t>沈昌祥院士背书 + 团队来自英伟达 / 海思 / 达摩院等，研发底座扎实</w:t>
      </w:r>
    </w:p>
    <w:p>
      <w:bookmarkStart w:id="360083" w:name="_Toc3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⚠️ 核心空头逻辑</w:t>
      </w:r>
      <w:bookmarkEnd w:id="360083"/>
    </w:p>
    <w:p>
      <w:pPr>
        <w:pStyle w:val="ListBullet"/>
        <w:spacing w:before="0" w:after="60" w:line="276" w:lineRule="auto"/>
      </w:pPr>
      <w:r>
        <w:t>报告期（2024–2026）利润总额累计仅 1.58 亿，2026/2027 连续大额亏损</w:t>
      </w:r>
    </w:p>
    <w:p>
      <w:pPr>
        <w:pStyle w:val="ListBullet"/>
        <w:spacing w:before="0" w:after="60" w:line="276" w:lineRule="auto"/>
      </w:pPr>
      <w:r>
        <w:t>收入预测两年内增长 6.5 倍以上，主要依赖尚未流片/未量产的 HL200、崆峒7000</w:t>
      </w:r>
    </w:p>
    <w:p>
      <w:pPr>
        <w:pStyle w:val="ListBullet"/>
        <w:spacing w:before="0" w:after="60" w:line="276" w:lineRule="auto"/>
      </w:pPr>
      <w:r>
        <w:t>50 亿投前估值对应 2026E 收入 PS 约 65–67x，处于同业高位区间</w:t>
      </w:r>
    </w:p>
    <w:p>
      <w:pPr>
        <w:pStyle w:val="ListBullet"/>
        <w:spacing w:before="0" w:after="60" w:line="276" w:lineRule="auto"/>
      </w:pPr>
      <w:r>
        <w:t>多项参数为"对标某国外 A 芯片"口径，缺乏独立第三方实测验证</w:t>
      </w:r>
    </w:p>
    <w:p>
      <w:bookmarkStart w:id="386480" w:name="_Toc4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二、六大投资亮点（公司口径 + 独立解读）</w:t>
      </w:r>
      <w:bookmarkEnd w:id="386480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#</w:t>
            </w:r>
          </w:p>
        </w:tc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亮点</w:t>
            </w:r>
          </w:p>
        </w:tc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公司主张</w:t>
            </w:r>
          </w:p>
        </w:tc>
        <w:tc>
          <w:tcPr>
            <w:tcW w:type="dxa" w:w="216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独立解读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01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产品重大突破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首款 GPU 推理芯片 HL100 成功流片并完成硬件测试，性能接近英伟达 H20；下一代 HL200 将支持 FP8/FP4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✅ 已验证：流片成功 / ⚠️ 待验证：量产、良率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02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最高自主可控度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CPU 根植申威 SW64 +RISC-V，号称国内唯一"指令集到微架构"全自主可控，"自主指令集+安全可信"双护城河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✅ 差异化清晰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03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量超融合首家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国内首家 CPU+GPU+QPU 量超融合异构超算系统芯片企业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🟣 前沿概念 / ⚠️ 商业化极早期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04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绑定信创/智算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入围 23 省市 48 个信创标段，签约中国移动、电信、能建、建筑等；2026–2030 整机意向订单超 46 亿、芯片订单预计超 70 亿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✅ 渠道资源强 / ⚠️ "意向" ≠ 合同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05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顶级团队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沈昌祥院士任首席科学家；创始人王嘉诚博士 30 年央企管理与上市运作经验；骨干来自英伟达、海思、达摩院等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✅ 团队背景强</w:t>
            </w:r>
          </w:p>
        </w:tc>
      </w:tr>
      <w:tr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06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估值洼地高弹性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投前估值 50 亿，拟 2027 申报创业板第四套、年底上市、2028 退出，预计市值 1200 亿以上</w:t>
            </w:r>
          </w:p>
        </w:tc>
        <w:tc>
          <w:tcPr>
            <w:tcW w:type="dxa" w:w="216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⚠️ 退出依赖 IPO 成功 / 市值预期激进</w:t>
            </w:r>
          </w:p>
        </w:tc>
      </w:tr>
    </w:tbl>
    <w:p>
      <w:bookmarkStart w:id="560129" w:name="_Toc5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三、行业概况与政策红利</w:t>
      </w:r>
      <w:bookmarkEnd w:id="560129"/>
    </w:p>
    <w:p>
      <w:r>
        <w:rPr>
          <w:rFonts w:ascii="微软雅黑" w:hAnsi="微软雅黑" w:eastAsia="微软雅黑"/>
        </w:rPr>
        <w:t>国产算力替代是确定性赛道，需求侧（地缘限制 + 大模型推理爆发）与政策侧（信创强制替代、"十五五"规划、政府工作报告连续点名量子）共振。但赛道拥挤、玩家众多，竞争已趋白热化。</w:t>
      </w:r>
    </w:p>
    <w:p>
      <w:bookmarkStart w:id="903848" w:name="_Toc6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三大市场（公司引用口径）</w:t>
      </w:r>
      <w:bookmarkEnd w:id="903848"/>
    </w:p>
    <w:p>
      <w:pPr>
        <w:pStyle w:val="ListBullet"/>
        <w:spacing w:before="0" w:after="60" w:line="276" w:lineRule="auto"/>
      </w:pPr>
      <w:r>
        <w:t>GPU： 2024 年中国 AI 智算 GPU 市场 996.7 亿元 → 2029 年 10,333.4 亿元，CAGR 56.7%；2028 年推理算力占比升至 73%。</w:t>
      </w:r>
    </w:p>
    <w:p>
      <w:pPr>
        <w:pStyle w:val="ListBullet"/>
        <w:spacing w:before="0" w:after="60" w:line="276" w:lineRule="auto"/>
      </w:pPr>
      <w:r>
        <w:t>CPU： 2023 年中国 CPU 市场 1,900.5 亿元 → 2028 年 3,628.3 亿元，CAGR 14.5%。</w:t>
      </w:r>
    </w:p>
    <w:p>
      <w:pPr>
        <w:pStyle w:val="ListBullet"/>
        <w:spacing w:before="0" w:after="60" w:line="276" w:lineRule="auto"/>
      </w:pPr>
      <w:r>
        <w:t>QPU： 2025 年中国量子计算产业规模约 115.6 亿元，年增速 30%+，2035 年市场份额预计升至 29.49%（全球第二）。</w:t>
      </w:r>
    </w:p>
    <w:p>
      <w:pPr>
        <w:pStyle w:val="Quote"/>
      </w:pPr>
      <w:r>
        <w:t>政策催化： 信创要求 2027 年 100% 替换并纳入一把手考核；国家算力网信创软硬件市场规模约 25 万亿（党政军央国企）+ 24 万亿（金融/各级智算中心），公司口径。</w:t>
      </w:r>
    </w:p>
    <w:p>
      <w:pPr>
        <w:pStyle w:val="Quote"/>
      </w:pPr>
      <w:r>
        <w:t>🚩 独立提示： 市场规模属"总可及市场（TAM）"概念，远非公司可获得份额。GPU 赛道已有华为昇腾、寒武纪、沐曦、摩尔线程、壁仞、天数、燧原等数十家厂商激烈卡位，国产替代红利将被高度分摊，份额假设需大幅打折。</w:t>
      </w:r>
    </w:p>
    <w:p>
      <w:bookmarkStart w:id="996455" w:name="_Toc7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四、产品与技术体系</w:t>
      </w:r>
      <w:bookmarkEnd w:id="996455"/>
    </w:p>
    <w:p>
      <w:r>
        <w:rPr>
          <w:rFonts w:ascii="微软雅黑" w:hAnsi="微软雅黑" w:eastAsia="微软雅黑"/>
        </w:rPr>
        <w:t>公司构建"四大核心技术底座（申威 + RISC-V + 量子计算 + 可信技术）"，覆盖 GPU / CPU / QPU / SoC 四类芯片及 6 大系列 30+ 整机产品。是国内号称仅 3 家具备"芯片+整机+解决方案"全栈能力的企业之一。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产品线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系列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说明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GPU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隆威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HL100（已流片）/ HL200 / HL400，面向 AI 推理，主打能效比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CPU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崆峒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崆峒 7000（2027 问世）SW64+RISC-V，64/128 核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QPU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华隆量子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超导量子芯片，路线图 112Q，量算 1–5 号逐年推进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SoC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昆枢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昆枢 100–400 SoC 系列，配合整机生态</w:t>
            </w:r>
          </w:p>
        </w:tc>
      </w:tr>
    </w:tbl>
    <w:p>
      <w:bookmarkStart w:id="627511" w:name="_Toc8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3.1 GPU 旗舰参数（公司披露）</w:t>
      </w:r>
      <w:bookmarkEnd w:id="627511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型号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架构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BF16/FP16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FP8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FP4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显存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带宽(GB/s)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功耗(W)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能效比</w:t>
            </w:r>
          </w:p>
        </w:tc>
        <w:tc>
          <w:tcPr>
            <w:tcW w:type="dxa" w:w="86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状态</w:t>
            </w:r>
          </w:p>
        </w:tc>
      </w:tr>
      <w:tr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HL100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GPGPU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256T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—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—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128GB LPDDR5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204.8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75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3.41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2025.8 已流片</w:t>
            </w:r>
          </w:p>
        </w:tc>
      </w:tr>
      <w:tr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HL200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NPU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256T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1536T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6144T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1024GB LPDDR5X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2713.6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800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7.68</w:t>
            </w:r>
          </w:p>
        </w:tc>
        <w:tc>
          <w:tcPr>
            <w:tcW w:type="dxa" w:w="86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2026.12 计划</w:t>
            </w:r>
          </w:p>
        </w:tc>
      </w:tr>
      <w:tr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HL200Pro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256T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1536T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6144T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192GB HBM3e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8806.4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800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7.68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规划中</w:t>
            </w:r>
          </w:p>
        </w:tc>
      </w:tr>
      <w:tr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HL400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1536T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9216T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36864T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288GB HBM3e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9830.4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1200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30.72</w:t>
            </w:r>
          </w:p>
        </w:tc>
        <w:tc>
          <w:tcPr>
            <w:tcW w:type="dxa" w:w="86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远期规划</w:t>
            </w:r>
          </w:p>
        </w:tc>
      </w:tr>
    </w:tbl>
    <w:p>
      <w:bookmarkStart w:id="676121" w:name="_Toc9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3.2 关键技术范式</w:t>
      </w:r>
      <w:bookmarkEnd w:id="676121"/>
    </w:p>
    <w:p>
      <w:pPr>
        <w:pStyle w:val="ListBullet"/>
        <w:spacing w:before="0" w:after="60" w:line="276" w:lineRule="auto"/>
      </w:pPr>
      <w:r>
        <w:t>推理原生异构计算架构 INHA： 自研 INISA 指令集，剥离训练与图形逻辑，号称 100% 硅基面积服务推理，晶体管利用率提升 5 倍+。</w:t>
      </w:r>
    </w:p>
    <w:p>
      <w:pPr>
        <w:pStyle w:val="ListBullet"/>
        <w:spacing w:before="0" w:after="60" w:line="276" w:lineRule="auto"/>
      </w:pPr>
      <w:r>
        <w:t>算法-硅基深度耦合 ASDC： 以数据分布反向驱动微架构，MP8 量化 + CALCA 压缩 + HMFA 架构协同，单位物理资源等效 6 倍算力与带宽。</w:t>
      </w:r>
    </w:p>
    <w:p>
      <w:pPr>
        <w:pStyle w:val="ListBullet"/>
        <w:spacing w:before="0" w:after="60" w:line="276" w:lineRule="auto"/>
      </w:pPr>
      <w:r>
        <w:t>四大模块： MP8 可变精度量化、CALCA 无损压缩、SAP 稀疏注意力流水线、DKHMU 动态 KVCache 分层管理。</w:t>
      </w:r>
    </w:p>
    <w:p>
      <w:pPr>
        <w:pStyle w:val="ListBullet"/>
        <w:spacing w:before="0" w:after="60" w:line="276" w:lineRule="auto"/>
      </w:pPr>
      <w:r>
        <w:t>量超融合全栈： CUDA-Q 兼容编程模型，经典任务驻 GPU、量子任务卸载 QPU，以经典算力弥补量子不稳定性。</w:t>
      </w:r>
    </w:p>
    <w:p>
      <w:pPr>
        <w:pStyle w:val="Quote"/>
      </w:pPr>
      <w:r>
        <w:t>🚩 技术风险： HL200/HL400 的 FP4/FP8 超高算力与能效比（最高 30.72）均为设计目标值（spec），非流片实测。NPU 架构在"通用大模型推理"上的生态兼容性、实际利用率（MFU）、客户迁移成本是国产芯片的普遍痛点，需重点验证软件栈成熟度。</w:t>
      </w:r>
    </w:p>
    <w:p>
      <w:bookmarkStart w:id="987537" w:name="_Toc10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五、竞品对标</w:t>
      </w:r>
      <w:bookmarkEnd w:id="987537"/>
    </w:p>
    <w:p>
      <w:r>
        <w:rPr>
          <w:rFonts w:ascii="微软雅黑" w:hAnsi="微软雅黑" w:eastAsia="微软雅黑"/>
        </w:rPr>
        <w:t>公司将自身产品与华为昇腾、寒武纪、沐曦、摩尔线程、燧原、天数及英伟达 H20/B200 等横向对比。注意：自家产品多为 spec 值，竞品多为公开规格，口径不完全对等。</w:t>
      </w:r>
    </w:p>
    <w:p>
      <w:bookmarkStart w:id="74820" w:name="_Toc11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4.1 GPU 能效比对比（公司口径，TFLOPS/W）</w:t>
      </w:r>
      <w:bookmarkEnd w:id="74820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产品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能效比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HL100（中诚华隆）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3.41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HL200（中诚华隆）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7.68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HL400（中诚华隆）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30.72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华为昇腾 910B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0.94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寒武纪 590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0.22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沐曦 C500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0.37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燧原 S60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0.55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英伟达 H20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0.42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英伟达 B200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7.68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英伟达 B300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13.17</w:t>
            </w:r>
          </w:p>
        </w:tc>
      </w:tr>
    </w:tbl>
    <w:p>
      <w:bookmarkStart w:id="67925" w:name="_Toc12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4.2 CPU 自主可控度对比</w:t>
      </w:r>
      <w:bookmarkEnd w:id="67925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芯片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指令集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来源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自主可控度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时间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主频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核数(C/T)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SPEC2006 双路</w:t>
            </w:r>
          </w:p>
        </w:tc>
      </w:tr>
      <w:tr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崆峒7000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SW64+RISC-V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中国 JF 自研（结构授权）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★★★★★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2027.12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2.5GHz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64/128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3500/3000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申威 H8000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SW64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中国 JF 自研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★★★★★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2023.12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2.0GHz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64/128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2336/2227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海光 7490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x86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AMD Zen1 授权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★★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2023.10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2.7GHz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64/128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2673/2282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鲲鹏 920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ARM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ARMv8 永久授权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★★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2019.1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3.0GHz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64/64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2169/1938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飞腾 S5000C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ARM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ARMv8 永久授权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★★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2023.9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2.3GHz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64/64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2130/1900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Intel Xeon 8180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x86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美国自研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2017.11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2.5GHz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28/56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2910/1790</w:t>
            </w:r>
          </w:p>
        </w:tc>
      </w:tr>
    </w:tbl>
    <w:p>
      <w:pPr>
        <w:pStyle w:val="Quote"/>
      </w:pPr>
      <w:r>
        <w:t>政策稀缺性： 中办规定仅申威、龙芯、鲲鹏、飞腾、兆芯、海光 6 家可参与信创；其中仅申威 SW64 与龙芯 LoongArch 为 100% 独立自主研发。中诚华隆是申威路线的民用化/产业化主体。</w:t>
      </w:r>
    </w:p>
    <w:p>
      <w:pPr>
        <w:pStyle w:val="Quote"/>
      </w:pPr>
      <w:r>
        <w:t>但 崆峒7000 的领先性能为 2027 年目标值，届时需与对手新一代产品（非现有产品）竞争。</w:t>
      </w:r>
    </w:p>
    <w:p>
      <w:bookmarkStart w:id="4698" w:name="_Toc13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六、核心团队与股权结构</w:t>
      </w:r>
      <w:bookmarkEnd w:id="4698"/>
    </w:p>
    <w:p>
      <w:bookmarkStart w:id="697098" w:name="_Toc14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5.1 关键人物</w:t>
      </w:r>
      <w:bookmarkEnd w:id="697098"/>
    </w:p>
    <w:p>
      <w:pPr>
        <w:pStyle w:val="ListBullet"/>
        <w:spacing w:before="0" w:after="60" w:line="276" w:lineRule="auto"/>
      </w:pPr>
      <w:r>
        <w:t>沈昌祥 · 首席科学家： 中国工程院首批院士，"可信计算之父""等级保护之父"，国家集成电路产业发展咨询委员会委员；国家科技进步一等奖 2 项。提供顶层背书与可信计算技术底座。</w:t>
      </w:r>
    </w:p>
    <w:p>
      <w:pPr>
        <w:pStyle w:val="ListBullet"/>
        <w:spacing w:before="0" w:after="60" w:line="276" w:lineRule="auto"/>
      </w:pPr>
      <w:r>
        <w:t>王嘉诚 · 创始人 &amp; CEO（实控人 62.52%）： 30 年央企管理与上市运作经验——曾任职证监会（创业板政策研究）、神华集团（A+H 上市，单笔募资 1000 亿）、国资委改革局（央企董事会/上市审批）、中冶资产管理。负责申威民用化与产业化。</w:t>
      </w:r>
    </w:p>
    <w:p>
      <w:pPr>
        <w:pStyle w:val="ListBullet"/>
        <w:spacing w:before="0" w:after="60" w:line="276" w:lineRule="auto"/>
      </w:pPr>
      <w:r>
        <w:t>技术骨干： 软件/芯片架构、量子芯片硬件与系统集成负责人，背景含英伟达、华为海思、阿里达摩院、安谋中国、德州仪器、中芯国际及国家级研究所；芯片研发中心主任具 23 年 ASIC、20 次成功流片经验。</w:t>
      </w:r>
    </w:p>
    <w:p>
      <w:bookmarkStart w:id="23998" w:name="_Toc15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5.2 股权结构（实控人王嘉诚合计 62.52%）</w:t>
      </w:r>
      <w:bookmarkEnd w:id="23998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股东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持股比例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青岛中恒方略企业管理合伙企业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26.3548%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青岛中鑫凯达企业管理合伙企业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22.6692%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青岛中恒社稷企业管理合伙企业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15.0599%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上海沣漾企业管理合伙企业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11.2949%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海南耀世东方投资合伙企业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7.6809%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青岛中隆天成投资合伙企业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5.7923%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青岛昂日股权投资合伙企业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4.7196%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上海高信盛典创业投资合伙企业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3.3811%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神威超算(北京)科技有限公司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1.8558%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北京市典峰佳艺数码科技有限公司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0.9970%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上海高信盛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0.1946%</w:t>
            </w:r>
          </w:p>
        </w:tc>
      </w:tr>
    </w:tbl>
    <w:p>
      <w:pPr>
        <w:pStyle w:val="Quote"/>
      </w:pPr>
      <w:r>
        <w:t>背景解读： 创始人横跨监管（证监会）、巨型央企上市（神华）、国资监管（国资委上市审批）三重履历，对"IPO 通关"路径极为熟悉——这是该项目"资本运作能力"强的核心，但也意味着故事更偏资本驱动，需关注技术兑现与资本节奏的匹配。</w:t>
      </w:r>
    </w:p>
    <w:p>
      <w:bookmarkStart w:id="506890" w:name="_Toc16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七、财务情况与盈利预测</w:t>
      </w:r>
      <w:bookmarkEnd w:id="506890"/>
    </w:p>
    <w:p>
      <w:r>
        <w:rPr>
          <w:rFonts w:ascii="微软雅黑" w:hAnsi="微软雅黑" w:eastAsia="微软雅黑"/>
        </w:rPr>
        <w:t>2024–2026 为 IPO 三年报告期。预测显示收入从 2026 年 7.63 亿元快速放大至 2030 年 49.75 亿元，但利润总额在 2026/2027 连续大额亏损，2028 年方转正。研发费用常年高企。</w:t>
      </w:r>
    </w:p>
    <w:p>
      <w:bookmarkStart w:id="829639" w:name="_Toc17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6.1 盈利预测明细（万元，公司口径）</w:t>
      </w:r>
      <w:bookmarkEnd w:id="829639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项目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2026E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2027E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2028E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2029E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2030E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合计</w:t>
            </w:r>
          </w:p>
        </w:tc>
      </w:tr>
      <w:tr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营业收入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76,297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122,010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212,010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330,510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497,510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1,238,337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 整机产品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25,297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39,010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67,010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88,010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95,010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314,337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 GPU 芯片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50,000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80,000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127,000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194,500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297,500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749,000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 CPU 芯片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10,000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40,000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80,000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130,000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— QPU 芯片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25,000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45,000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营业成本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39,832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64,122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112,192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170,952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241,652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628,749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毛利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36,465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57,888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99,818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159,558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255,858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609,588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研发费用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82,397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95,612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76,052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101,382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141,492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496,935</w:t>
            </w:r>
          </w:p>
        </w:tc>
      </w:tr>
      <w:tr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利润总额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-51,776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-47,428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6,902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31,947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76,108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15,753</w:t>
            </w:r>
          </w:p>
        </w:tc>
      </w:tr>
    </w:tbl>
    <w:p>
      <w:bookmarkStart w:id="327839" w:name="_Toc18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6.2 关键风险点</w:t>
      </w:r>
      <w:bookmarkEnd w:id="327839"/>
    </w:p>
    <w:p>
      <w:pPr>
        <w:pStyle w:val="ListBullet"/>
        <w:spacing w:before="0" w:after="60" w:line="276" w:lineRule="auto"/>
      </w:pPr>
      <w:r>
        <w:t>🚩 毛利率异常高： GPU 芯片 2026E 收入 5 亿 / 成本 2 亿，毛利率 60%；整机约 23%。芯片端高毛利假设需用量产良率与定价权支撑。</w:t>
      </w:r>
    </w:p>
    <w:p>
      <w:pPr>
        <w:pStyle w:val="ListBullet"/>
        <w:spacing w:before="0" w:after="60" w:line="276" w:lineRule="auto"/>
      </w:pPr>
      <w:r>
        <w:t>🚩 研发吞噬利润： 2026E 研发费用 8.24 亿 &gt; 当年收入 7.63 亿，研发费用率超 100%，两年累计亏损约 10 亿。</w:t>
      </w:r>
    </w:p>
    <w:p>
      <w:pPr>
        <w:pStyle w:val="ListBullet"/>
        <w:spacing w:before="0" w:after="60" w:line="276" w:lineRule="auto"/>
      </w:pPr>
      <w:r>
        <w:t>🚩 收入兑现风险： 2028 年起 CPU/QPU 才贡献收入，5 年合计 12.4 亿收入预测中 GPU 占 60%，高度依赖单一产品线放量。</w:t>
      </w:r>
    </w:p>
    <w:p>
      <w:bookmarkStart w:id="886684" w:name="_Toc19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八、估值与投资收益测算</w:t>
      </w:r>
      <w:bookmarkEnd w:id="886684"/>
    </w:p>
    <w:p>
      <w:r>
        <w:rPr>
          <w:rFonts w:ascii="微软雅黑" w:hAnsi="微软雅黑" w:eastAsia="微软雅黑"/>
        </w:rPr>
        <w:t>本轮投前 50 亿、投后 57 亿，融资 7 亿（对应约 12.28% 股权）。公司选取海光、寒武纪、龙芯、景嘉微、沐曦、摩尔线程、天数、壁仞作为可比公司。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估值指标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数值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投前 / 投后估值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50 / 57 亿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投前估值 / 2026E 收入 (PS)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≈ 65–67x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可比公司 PS 中位数（卖方选取）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67.6x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投资期限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2.5 年（2026.6 投 → 2028 退）</w:t>
            </w:r>
          </w:p>
        </w:tc>
      </w:tr>
    </w:tbl>
    <w:p>
      <w:bookmarkStart w:id="366381" w:name="_Toc20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7.1 可比公司（2024 营收 / 市值 / 估值，截至 2026.01.08）</w:t>
      </w:r>
      <w:bookmarkEnd w:id="366381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公司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板块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主营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2024 营收(亿)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2024 净利(亿)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总市值(亿)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PS</w:t>
            </w:r>
          </w:p>
        </w:tc>
        <w:tc>
          <w:tcPr>
            <w:tcW w:type="dxa" w:w="10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PE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海光信息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科创板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CPU/DPU 服务器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91.62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19.31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5,617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61.3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290.9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寒武纪-U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科创板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AI 核心芯片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11.74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-4.52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6,041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514.6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-1335.6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龙芯中科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科创板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工控/PC CPU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5.04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-6.25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559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110.9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-89.5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景嘉微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创业板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GPU/显控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4.66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-1.65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391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83.9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-237.0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沐曦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科创板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通用 GPU(训练/推理)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7.43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-14.09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2,571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346.0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-182.5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摩尔线程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科创板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全功能 GPU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4.39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-16.18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3,168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722.5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-195.8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天数智芯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港股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通用 GPU(训练)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5.40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-8.92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399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73.9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-44.7</w:t>
            </w:r>
          </w:p>
        </w:tc>
      </w:tr>
      <w:tr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壁仞科技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港股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GPGPU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3.37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-15.38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806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239.2</w:t>
            </w:r>
          </w:p>
        </w:tc>
        <w:tc>
          <w:tcPr>
            <w:tcW w:type="dxa" w:w="10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-52.4</w:t>
            </w:r>
          </w:p>
        </w:tc>
      </w:tr>
      <w:tr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中位数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—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—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—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—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775.3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67.6</w:t>
            </w:r>
          </w:p>
        </w:tc>
        <w:tc>
          <w:tcPr>
            <w:tcW w:type="dxa" w:w="1080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4.6</w:t>
            </w:r>
          </w:p>
        </w:tc>
      </w:tr>
    </w:tbl>
    <w:p>
      <w:bookmarkStart w:id="350559" w:name="_Toc21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7.2 退出收益测算（公司口径，三档敏感性）</w:t>
      </w:r>
      <w:bookmarkEnd w:id="350559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情景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退出 P/S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2028 预测收入(万)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退出总市值(万)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持股价值(万)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收益倍数</w:t>
            </w:r>
          </w:p>
        </w:tc>
        <w:tc>
          <w:tcPr>
            <w:tcW w:type="dxa" w:w="1234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年均收益率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悲观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25x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212,010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5,500,000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506,550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6.24x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249%</w:t>
            </w:r>
          </w:p>
        </w:tc>
      </w:tr>
      <w:tr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中性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40x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212,010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9,000,000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828,900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10.84x</w:t>
            </w:r>
          </w:p>
        </w:tc>
        <w:tc>
          <w:tcPr>
            <w:tcW w:type="dxa" w:w="1234"/>
            <w:vAlign w:val="center"/>
            <w:tcW w:w="0" w:type="auto"/>
            <w:shd w:fill="EEF2F8" w:val="clear"/>
          </w:tcPr>
          <w:p>
            <w:pPr>
              <w:jc w:val="left"/>
            </w:pPr>
            <w:r>
              <w:rPr>
                <w:rFonts w:ascii="微软雅黑" w:hAnsi="微软雅黑" w:eastAsia="微软雅黑"/>
                <w:b/>
                <w:sz w:val="20"/>
              </w:rPr>
              <w:t>434%</w:t>
            </w:r>
          </w:p>
        </w:tc>
      </w:tr>
      <w:tr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乐观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55x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212,010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12,000,000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1,105,200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14.79x</w:t>
            </w:r>
          </w:p>
        </w:tc>
        <w:tc>
          <w:tcPr>
            <w:tcW w:type="dxa" w:w="1234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592%</w:t>
            </w:r>
          </w:p>
        </w:tc>
      </w:tr>
    </w:tbl>
    <w:p>
      <w:pPr>
        <w:pStyle w:val="Quote"/>
      </w:pPr>
      <w:r>
        <w:t>🚩 测算审视：</w:t>
      </w:r>
    </w:p>
    <w:p>
      <w:pPr>
        <w:pStyle w:val="Quote"/>
      </w:pPr>
      <w:r>
        <w:t>① 即使"悲观"情景仍假设 IPO 成功、退出 PS 高达 25x、2028 收入 21.2 亿如期兑现，缺少"IPO 失败 / 收入不达预期 / 估值压缩"的真实下行情景；</w:t>
      </w:r>
    </w:p>
    <w:p>
      <w:pPr>
        <w:pStyle w:val="Quote"/>
      </w:pPr>
      <w:r>
        <w:t>② 退出 PS 25–55x 高于成熟可比公司海光（61x 但已盈利）以外的水平，且届时市场对未盈利芯片股的估值可能系统性回落；</w:t>
      </w:r>
    </w:p>
    <w:p>
      <w:pPr>
        <w:pStyle w:val="Quote"/>
      </w:pPr>
      <w:r>
        <w:t>③ 年均收益率 249–592% 属极端乐观区间，应按概率加权大幅折让。</w:t>
      </w:r>
    </w:p>
    <w:p>
      <w:bookmarkStart w:id="362054" w:name="_Toc22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九、上市路径与时间表</w:t>
      </w:r>
      <w:bookmarkEnd w:id="362054"/>
    </w:p>
    <w:p>
      <w:r>
        <w:rPr>
          <w:rFonts w:ascii="微软雅黑" w:hAnsi="微软雅黑" w:eastAsia="微软雅黑"/>
        </w:rPr>
        <w:t>依托 2026.4.10 证监会新设的创业板第四套标准（预计市值≥30 亿、最近一年收入≥2 亿、近三年收入复合增速≥30%），公司以 2024–2026 为报告期，计划 2027 申报上市。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4320"/>
        <w:gridCol w:w="4320"/>
      </w:tblGrid>
      <w:tr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时间</w:t>
            </w:r>
          </w:p>
        </w:tc>
        <w:tc>
          <w:tcPr>
            <w:tcW w:type="dxa" w:w="432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里程碑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2026.5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中信证券等中介机构进场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2026.7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完成 B / B+ 轮融资；启动股改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2026.8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完成股改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2026.9–10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向地方证监局提交辅导备案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2026.12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Pre-IPO 融资完成，预计投后估值 200 亿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2027.3–4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完成辅导验收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2027.6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向交易所正式上报 IPO 材料</w:t>
            </w:r>
          </w:p>
        </w:tc>
      </w:tr>
      <w:tr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2028</w:t>
            </w:r>
          </w:p>
        </w:tc>
        <w:tc>
          <w:tcPr>
            <w:tcW w:type="dxa" w:w="432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投资人解禁退出</w:t>
            </w:r>
          </w:p>
        </w:tc>
      </w:tr>
    </w:tbl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估值阶梯（公司规划）：</w:t>
      </w:r>
      <w:r>
        <w:rPr>
          <w:rFonts w:ascii="微软雅黑" w:hAnsi="微软雅黑" w:eastAsia="微软雅黑"/>
        </w:rPr>
        <w:t>本轮 B 轮投前 50 亿 / 投后 57 亿 → 2026.12 Pre-IPO 投后约 200 亿 → 2027 上市目标约 300 亿 → 2029 远期 1200 亿 → 2030 远期 3000 亿。</w:t>
      </w:r>
    </w:p>
    <w:p>
      <w:pPr>
        <w:pStyle w:val="Quote"/>
      </w:pPr>
      <w:r>
        <w:t>🚩 节奏风险： 从 50 亿到 200 亿（半年 4 倍）再到上市 300 亿、退出 900–1200 亿，估值跃升高度依赖资本市场窗口、监管审核进度与收入兑现三者同时顺利，任一环节延迟都将显著拉低 IRR。</w:t>
      </w:r>
    </w:p>
    <w:p>
      <w:bookmarkStart w:id="672058" w:name="_Toc23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十、独立风险揭示</w:t>
      </w:r>
      <w:bookmarkEnd w:id="672058"/>
    </w:p>
    <w:p>
      <w:pPr>
        <w:pStyle w:val="Quote"/>
      </w:pPr>
      <w:r>
        <w:t>作为深度分析，以下风险为基于材料的独立判断（非公司披露），是本项目的核心决策变量。</w:t>
      </w:r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① 技术与量产风险</w:t>
      </w:r>
      <w:r>
        <w:rPr>
          <w:rFonts w:ascii="微软雅黑" w:hAnsi="微软雅黑" w:eastAsia="微软雅黑"/>
        </w:rPr>
      </w:r>
    </w:p>
    <w:p>
      <w:pPr>
        <w:pStyle w:val="ListBullet"/>
        <w:spacing w:before="0" w:after="60" w:line="276" w:lineRule="auto"/>
      </w:pPr>
      <w:r>
        <w:t>HL100 仅"流片+硬件测试"，距大规模量产、良率爬坡、客户实测仍有距离</w:t>
      </w:r>
    </w:p>
    <w:p>
      <w:pPr>
        <w:pStyle w:val="ListBullet"/>
        <w:spacing w:before="0" w:after="60" w:line="276" w:lineRule="auto"/>
      </w:pPr>
      <w:r>
        <w:t>HL200/HL400 及崆峒7000 关键性能为 spec 目标值，2026.12 / 2027 才问世，存在跳票可能</w:t>
      </w:r>
    </w:p>
    <w:p>
      <w:pPr>
        <w:pStyle w:val="ListBullet"/>
        <w:spacing w:before="0" w:after="60" w:line="276" w:lineRule="auto"/>
      </w:pPr>
      <w:r>
        <w:t>软件栈/生态（CUDA 兼容深度、框架适配、客户迁移成本）是国产芯片最大隐性壁垒</w:t>
      </w:r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② 财务与盈利风险</w:t>
      </w:r>
      <w:r>
        <w:rPr>
          <w:rFonts w:ascii="微软雅黑" w:hAnsi="微软雅黑" w:eastAsia="微软雅黑"/>
        </w:rPr>
      </w:r>
    </w:p>
    <w:p>
      <w:pPr>
        <w:pStyle w:val="ListBullet"/>
        <w:spacing w:before="0" w:after="60" w:line="276" w:lineRule="auto"/>
      </w:pPr>
      <w:r>
        <w:t>报告期连续大额亏损（2026E -5.18 亿、2027E -4.74 亿），现金消耗快</w:t>
      </w:r>
    </w:p>
    <w:p>
      <w:pPr>
        <w:pStyle w:val="ListBullet"/>
        <w:spacing w:before="0" w:after="60" w:line="276" w:lineRule="auto"/>
      </w:pPr>
      <w:r>
        <w:t>研发费用率超 100%，对持续融资高度依赖，存在再融资/股权稀释风险</w:t>
      </w:r>
    </w:p>
    <w:p>
      <w:pPr>
        <w:pStyle w:val="ListBullet"/>
        <w:spacing w:before="0" w:after="60" w:line="276" w:lineRule="auto"/>
      </w:pPr>
      <w:r>
        <w:t>60% 芯片毛利率、6.5 倍两年收入增长等关键假设激进，下修概率高</w:t>
      </w:r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③ 订单与收入质量风险</w:t>
      </w:r>
      <w:r>
        <w:rPr>
          <w:rFonts w:ascii="微软雅黑" w:hAnsi="微软雅黑" w:eastAsia="微软雅黑"/>
        </w:rPr>
      </w:r>
    </w:p>
    <w:p>
      <w:pPr>
        <w:pStyle w:val="ListBullet"/>
        <w:spacing w:before="0" w:after="60" w:line="276" w:lineRule="auto"/>
      </w:pPr>
      <w:r>
        <w:t>"46 亿整机意向 + 70 亿芯片意向"多为意向/战略合作，实际签约仅约 7 亿，落地比例存疑</w:t>
      </w:r>
    </w:p>
    <w:p>
      <w:pPr>
        <w:pStyle w:val="ListBullet"/>
        <w:spacing w:before="0" w:after="60" w:line="276" w:lineRule="auto"/>
      </w:pPr>
      <w:r>
        <w:t>信创/央企采购回款周期长、定价受控，毛利与现金流可能承压</w:t>
      </w:r>
    </w:p>
    <w:p>
      <w:pPr>
        <w:pStyle w:val="ListBullet"/>
        <w:spacing w:before="0" w:after="60" w:line="276" w:lineRule="auto"/>
      </w:pPr>
      <w:r>
        <w:t>收入高度集中于 GPU 单一产品线与政府/央企单一客户群</w:t>
      </w:r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④ 估值与退出风险</w:t>
      </w:r>
      <w:r>
        <w:rPr>
          <w:rFonts w:ascii="微软雅黑" w:hAnsi="微软雅黑" w:eastAsia="微软雅黑"/>
        </w:rPr>
      </w:r>
    </w:p>
    <w:p>
      <w:pPr>
        <w:pStyle w:val="ListBullet"/>
        <w:spacing w:before="0" w:after="60" w:line="276" w:lineRule="auto"/>
      </w:pPr>
      <w:r>
        <w:t>50 亿投前对应 65x+ PS（未盈利），安全边际薄</w:t>
      </w:r>
    </w:p>
    <w:p>
      <w:pPr>
        <w:pStyle w:val="ListBullet"/>
        <w:spacing w:before="0" w:after="60" w:line="276" w:lineRule="auto"/>
      </w:pPr>
      <w:r>
        <w:t>退出依赖 2027 IPO 成功 + 2028 解禁，IPO 审核与市场窗口不确定</w:t>
      </w:r>
    </w:p>
    <w:p>
      <w:pPr>
        <w:pStyle w:val="ListBullet"/>
        <w:spacing w:before="0" w:after="60" w:line="276" w:lineRule="auto"/>
      </w:pPr>
      <w:r>
        <w:t>近一年沐曦、摩尔、天数、壁仞密集上市，板块供给增加或压制估值</w:t>
      </w:r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⑤ 治理与信息披露风险</w:t>
      </w:r>
      <w:r>
        <w:rPr>
          <w:rFonts w:ascii="微软雅黑" w:hAnsi="微软雅黑" w:eastAsia="微软雅黑"/>
        </w:rPr>
      </w:r>
    </w:p>
    <w:p>
      <w:pPr>
        <w:pStyle w:val="ListBullet"/>
        <w:spacing w:before="0" w:after="60" w:line="276" w:lineRule="auto"/>
      </w:pPr>
      <w:r>
        <w:t>材料为卖方路演口径，多项数据无第三方/审计背书</w:t>
      </w:r>
    </w:p>
    <w:p>
      <w:pPr>
        <w:pStyle w:val="ListBullet"/>
        <w:spacing w:before="0" w:after="60" w:line="276" w:lineRule="auto"/>
      </w:pPr>
      <w:r>
        <w:t>实控人持股 62.5%，控制权高度集中，需关注关联交易与公司治理</w:t>
      </w:r>
    </w:p>
    <w:p>
      <w:pPr>
        <w:pStyle w:val="ListBullet"/>
        <w:spacing w:before="0" w:after="60" w:line="276" w:lineRule="auto"/>
      </w:pPr>
      <w:r>
        <w:t>量超融合加速比（如"10^50 倍理论"）为理论估算，宣传色彩浓</w:t>
      </w:r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⑥ 政策与竞争风险</w:t>
      </w:r>
      <w:r>
        <w:rPr>
          <w:rFonts w:ascii="微软雅黑" w:hAnsi="微软雅黑" w:eastAsia="微软雅黑"/>
        </w:rPr>
      </w:r>
    </w:p>
    <w:p>
      <w:pPr>
        <w:pStyle w:val="ListBullet"/>
        <w:spacing w:before="0" w:after="60" w:line="276" w:lineRule="auto"/>
      </w:pPr>
      <w:r>
        <w:t>信创替代节奏、第四套上市标准执行细则存在政策变动可能</w:t>
      </w:r>
    </w:p>
    <w:p>
      <w:pPr>
        <w:pStyle w:val="ListBullet"/>
        <w:spacing w:before="0" w:after="60" w:line="276" w:lineRule="auto"/>
      </w:pPr>
      <w:r>
        <w:t>申威路线生态规模小于鲲鹏/海光 x86，应用迁移与软件生态待补强</w:t>
      </w:r>
    </w:p>
    <w:p>
      <w:pPr>
        <w:pStyle w:val="ListBullet"/>
        <w:spacing w:before="0" w:after="60" w:line="276" w:lineRule="auto"/>
      </w:pPr>
      <w:r>
        <w:t>GPU 赛道玩家众多，国产替代红利被稀释，份额获取竞争激烈</w:t>
      </w:r>
    </w:p>
    <w:p>
      <w:bookmarkStart w:id="501062" w:name="_Toc24"/>
      <w:pPr>
        <w:pStyle w:val="Heading2"/>
      </w:pPr>
      <w:r>
        <w:rPr>
          <w:rFonts w:ascii="黑体" w:hAnsi="黑体" w:eastAsia="黑体"/>
          <w:b w:val="0"/>
          <w:color w:val="1A3C6E"/>
          <w:sz w:val="28"/>
        </w:rPr>
        <w:t>十一、综合评估与结论</w:t>
      </w:r>
      <w:bookmarkEnd w:id="501062"/>
    </w:p>
    <w:p>
      <w:bookmarkStart w:id="766831" w:name="_Toc25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多维评分（10 分制 · 独立判断）</w:t>
      </w:r>
      <w:bookmarkEnd w:id="766831"/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W w:w="0" w:type="auto"/>
        <w:tblLayout w:type="autofit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维度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评估</w:t>
            </w:r>
          </w:p>
        </w:tc>
        <w:tc>
          <w:tcPr>
            <w:tcW w:type="dxa" w:w="2880"/>
            <w:vAlign w:val="center"/>
            <w:tcW w:w="0" w:type="auto"/>
            <w:shd w:fill="D6E0EE" w:val="clear"/>
          </w:tcPr>
          <w:p>
            <w:pPr>
              <w:jc w:val="center"/>
            </w:pPr>
            <w:r>
              <w:rPr>
                <w:rFonts w:ascii="微软雅黑" w:hAnsi="微软雅黑" w:eastAsia="微软雅黑"/>
                <w:b/>
                <w:color w:val="1A3C6E"/>
                <w:sz w:val="20"/>
              </w:rPr>
              <w:t>评分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技术稀缺性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申威全自主指令集 + 量超融合，差异化强，但部分仍为规划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8.0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团队与背书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院士 + 资本运作型创始人 + 大厂技术骨干，结构完整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8.5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政策卡位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信创 6 家之一、申威路线稀缺、绑定央企渠道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8.8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产品成熟度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仅 HL100 流片，旗舰产品尚未问世/量产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4.5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财务健康度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连续亏损、研发费用率&gt;100%、依赖持续融资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3.5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订单可信度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在手仅约 7 亿，巨额"意向"落地待观察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4.0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估值吸引力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65x+ PS，安全边际薄，但低于多数同业 PS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5.5</w:t>
            </w:r>
          </w:p>
        </w:tc>
      </w:tr>
      <w:tr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退出确定性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路径清晰（第四套标准）但高度依赖 IPO 与窗口</w:t>
            </w:r>
          </w:p>
        </w:tc>
        <w:tc>
          <w:tcPr>
            <w:tcW w:type="dxa" w:w="2880"/>
            <w:vAlign w:val="center"/>
            <w:tcW w:w="0" w:type="auto"/>
          </w:tcPr>
          <w:p>
            <w:pPr>
              <w:jc w:val="left"/>
            </w:pPr>
            <w:r>
              <w:rPr>
                <w:rFonts w:ascii="微软雅黑" w:hAnsi="微软雅黑" w:eastAsia="微软雅黑"/>
                <w:sz w:val="20"/>
              </w:rPr>
              <w:t>5.0</w:t>
            </w:r>
          </w:p>
        </w:tc>
      </w:tr>
    </w:tbl>
    <w:p>
      <w:bookmarkStart w:id="124363" w:name="_Toc26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投资定性：高风险 / 高弹性的政策驱动型早期硬科技标的</w:t>
      </w:r>
      <w:bookmarkEnd w:id="124363"/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一句话结论：</w:t>
      </w:r>
      <w:r>
        <w:rPr>
          <w:rFonts w:ascii="微软雅黑" w:hAnsi="微软雅黑" w:eastAsia="微软雅黑"/>
        </w:rPr>
      </w:r>
    </w:p>
    <w:p>
      <w:r>
        <w:rPr>
          <w:rFonts w:ascii="微软雅黑" w:hAnsi="微软雅黑" w:eastAsia="微软雅黑"/>
        </w:rPr>
        <w:t>中诚华隆是一个</w:t>
      </w:r>
      <w:r>
        <w:rPr>
          <w:rFonts w:ascii="微软雅黑" w:hAnsi="微软雅黑" w:eastAsia="微软雅黑"/>
          <w:b/>
        </w:rPr>
        <w:t>"资本运作能力极强 + 政策卡位优秀 + 技术叙事宏大"</w:t>
      </w:r>
      <w:r>
        <w:rPr>
          <w:rFonts w:ascii="微软雅黑" w:hAnsi="微软雅黑" w:eastAsia="微软雅黑"/>
        </w:rPr>
        <w:t>的国产芯片项目，HL100 流片成功使其跨过最高技术风险门槛，具备清晰的 IPO 退出路径与高弹性回报空间；但其投资价值</w:t>
      </w:r>
      <w:r>
        <w:rPr>
          <w:rFonts w:ascii="微软雅黑" w:hAnsi="微软雅黑" w:eastAsia="微软雅黑"/>
          <w:b/>
        </w:rPr>
        <w:t>本质上是一个对"收入高速兑现 + 旗舰产品按期量产 + 2027 顺利 IPO"三重条件的看涨期权</w:t>
      </w:r>
      <w:r>
        <w:rPr>
          <w:rFonts w:ascii="微软雅黑" w:hAnsi="微软雅黑" w:eastAsia="微软雅黑"/>
        </w:rPr>
        <w:t>。当前 50 亿估值与 10.84x 中性收益建立在一系列激进假设之上，下行保护薄弱。</w:t>
      </w:r>
    </w:p>
    <w:p>
      <w:r>
        <w:rPr>
          <w:rFonts w:ascii="微软雅黑" w:hAnsi="微软雅黑" w:eastAsia="微软雅黑"/>
        </w:rPr>
        <w:t>适合</w:t>
      </w:r>
      <w:r>
        <w:rPr>
          <w:rFonts w:ascii="微软雅黑" w:hAnsi="微软雅黑" w:eastAsia="微软雅黑"/>
          <w:b/>
        </w:rPr>
        <w:t>风险承受能力强、看好国产算力 + 信创主线、能接受 2–3 年锁定与 IPO 不确定性的产业/战略资本</w:t>
      </w:r>
      <w:r>
        <w:rPr>
          <w:rFonts w:ascii="微软雅黑" w:hAnsi="微软雅黑" w:eastAsia="微软雅黑"/>
        </w:rPr>
        <w:t>；不适合追求确定性现金流或安全边际的稳健型资金。</w:t>
      </w:r>
    </w:p>
    <w:p>
      <w:r>
        <w:rPr>
          <w:rFonts w:ascii="微软雅黑" w:hAnsi="微软雅黑" w:eastAsia="微软雅黑"/>
        </w:rPr>
      </w:r>
      <w:r>
        <w:rPr>
          <w:rFonts w:ascii="微软雅黑" w:hAnsi="微软雅黑" w:eastAsia="微软雅黑"/>
          <w:b/>
        </w:rPr>
        <w:t>投前重点做三件事：</w:t>
      </w:r>
      <w:r>
        <w:rPr>
          <w:rFonts w:ascii="微软雅黑" w:hAnsi="微软雅黑" w:eastAsia="微软雅黑"/>
        </w:rPr>
      </w:r>
    </w:p>
    <w:p>
      <w:pPr>
        <w:numPr>
          <w:ilvl w:val="0"/>
          <w:numId w:val="10"/>
        </w:numPr>
        <w:pStyle w:val="ListNumber"/>
        <w:spacing w:before="0" w:after="60" w:line="276" w:lineRule="auto"/>
      </w:pPr>
      <w:r>
        <w:t>HL100 第三方实测与量产良率验证；</w:t>
      </w:r>
    </w:p>
    <w:p>
      <w:pPr>
        <w:pStyle w:val="ListNumber"/>
        <w:spacing w:before="0" w:after="60" w:line="276" w:lineRule="auto"/>
      </w:pPr>
      <w:r>
        <w:t>7 亿在手订单与 46/70 亿意向的合同/回款尽调；</w:t>
      </w:r>
    </w:p>
    <w:p>
      <w:pPr>
        <w:pStyle w:val="ListNumber"/>
        <w:spacing w:before="0" w:after="60" w:line="276" w:lineRule="auto"/>
      </w:pPr>
      <w:r>
        <w:t>财务模型独立重构并设置 IPO 失败的下行情景。</w:t>
      </w:r>
    </w:p>
    <w:p>
      <w:bookmarkStart w:id="460320" w:name="_Toc27"/>
      <w:pPr>
        <w:pStyle w:val="Heading3"/>
      </w:pPr>
      <w:r>
        <w:rPr>
          <w:rFonts w:ascii="黑体" w:hAnsi="黑体" w:eastAsia="黑体"/>
          <w:b w:val="0"/>
          <w:color w:val="1A3C6E"/>
          <w:sz w:val="24"/>
        </w:rPr>
        <w:t>投前必查清单（Due Diligence Checklist）</w:t>
      </w:r>
      <w:bookmarkEnd w:id="460320"/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HL100 流片样片的第三方基准实测（MLPerf / 真实大模型推理）</w:t>
      </w:r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晶圆代工产能、良率、供应链（制程节点、封测）保障协议</w:t>
      </w:r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在手 7 亿订单合同真实性、交付与回款条款</w:t>
      </w:r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46 亿/70 亿"意向"订单的转化率历史数据</w:t>
      </w:r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历史审计报告、现金余额与未来 24 个月现金跑道（runway）</w:t>
      </w:r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申威 SW64 授权条款与可持续性、IP 权属边界</w:t>
      </w:r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软件栈/生态成熟度与标杆客户实际部署案例</w:t>
      </w:r>
    </w:p>
    <w:p>
      <w:pPr>
        <w:spacing w:before="0" w:after="60" w:line="276" w:lineRule="auto"/>
      </w:pPr>
      <w:r>
        <w:rPr>
          <w:rFonts w:ascii="微软雅黑" w:hAnsi="微软雅黑" w:eastAsia="微软雅黑"/>
        </w:rPr>
        <w:t>☐ 本轮投资条款：反稀释、优先清算、对赌/回购、董事席位</w:t>
      </w:r>
    </w:p>
    <w:p>
      <w:r>
        <w:rPr>
          <w:rFonts w:ascii="微软雅黑" w:hAnsi="微软雅黑" w:eastAsia="微软雅黑"/>
        </w:rPr>
        <w:t>数据来源：《中诚华隆 B 轮融资项目材料》（共 47 页，制作于 2026.06.13）· 联系方式：www.zchlisc.com · 86-10-53651599</w:t>
      </w:r>
    </w:p>
    <w:p>
      <w:r>
        <w:rPr>
          <w:rFonts w:ascii="微软雅黑" w:hAnsi="微软雅黑" w:eastAsia="微软雅黑"/>
        </w:rPr>
        <w:t>*本报告由 AI 基于公司单方融资材料解析生成，含独立分析判断，仅供内部研究参考，</w:t>
      </w:r>
      <w:r>
        <w:rPr>
          <w:rFonts w:ascii="微软雅黑" w:hAnsi="微软雅黑" w:eastAsia="微软雅黑"/>
          <w:b/>
        </w:rPr>
        <w:t>不构成投资建议或要约</w:t>
      </w:r>
      <w:r>
        <w:rPr>
          <w:rFonts w:ascii="微软雅黑" w:hAnsi="微软雅黑" w:eastAsia="微软雅黑"/>
        </w:rPr>
        <w:t>。所有前瞻性数据均为卖方预测，存在重大不确定性。*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微软雅黑" w:hAnsi="微软雅黑" w:eastAsia="微软雅黑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color w:val="1A3C6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b/>
      <w:bCs/>
      <w:i/>
      <w:iCs/>
      <w:color w:val="1A3C6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60" w:line="276" w:lineRule="auto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60" w:line="276" w:lineRule="auto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