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eg" ContentType="image/jpe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openxmlformats.org/package/2006/relationships/metadata/thumbnail" Target="docProps/thumbnail.jpeg"/></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hd w:val="clear" w:color="000000" w:fill="FFFFFF"/>
        <w:adjustRightInd w:val="0"/>
        <w:snapToGrid w:val="0"/>
        <w:spacing w:beforeLines="50" w:before="120" w:after="72"/>
        <w:jc w:val="right"/>
        <w:rPr>
          <w:b/>
          <w:bCs/>
          <w:sz w:val="47"/>
          <w:szCs w:val="47"/>
        </w:rPr>
      </w:pPr>
      <w:r>
        <w:rPr>
          <w:rFonts w:hint="eastAsia"/>
          <w:b/>
          <w:bCs/>
          <w:spacing w:val="7"/>
          <w:sz w:val="47"/>
          <w:szCs w:val="47"/>
        </w:rPr>
        <w:t>中诚华隆</w:t>
      </w:r>
      <w:r>
        <w:rPr>
          <w:b/>
          <w:bCs/>
          <w:spacing w:val="7"/>
          <w:sz w:val="47"/>
          <w:szCs w:val="47"/>
        </w:rPr>
        <w:drawing>
          <wp:anchor distT="0" distB="0" distL="114300" distR="114300" simplePos="0" relativeHeight="10" behindDoc="0" locked="0" layoutInCell="1" hidden="0" allowOverlap="1">
            <wp:simplePos x="0" y="0"/>
            <wp:positionH relativeFrom="margin">
              <wp:align>center</wp:align>
            </wp:positionH>
            <wp:positionV relativeFrom="paragraph">
              <wp:posOffset>0</wp:posOffset>
            </wp:positionV>
            <wp:extent cx="6849744" cy="6893560"/>
            <wp:effectExtent l="0" t="0" r="0" b="0"/>
            <wp:wrapSquare wrapText="bothSides"/>
            <wp:docPr id="1" name="图片 1"/>
            <wp:cNvGraphicFramePr>
              <a:graphicFrameLocks noChangeAspect="0"/>
            </wp:cNvGraphicFramePr>
            <a:graphic>
              <a:graphicData uri="http://schemas.openxmlformats.org/drawingml/2006/picture">
                <pic:pic>
                  <pic:nvPicPr>
                    <pic:cNvPr id="3" name="图片 3"/>
                    <pic:cNvPicPr/>
                  </pic:nvPicPr>
                  <pic:blipFill>
                    <a:blip r:embed="rId5"/>
                    <a:stretch>
                      <a:fillRect/>
                    </a:stretch>
                  </pic:blipFill>
                  <pic:spPr>
                    <a:xfrm rot="0">
                      <a:off x="0" y="0"/>
                      <a:ext cx="6849744" cy="6893560"/>
                    </a:xfrm>
                    <a:prstGeom prst="rect"/>
                    <a:noFill/>
                    <a:ln w="12700" cmpd="sng" cap="flat">
                      <a:noFill/>
                      <a:prstDash val="solid"/>
                      <a:round/>
                    </a:ln>
                  </pic:spPr>
                </pic:pic>
              </a:graphicData>
            </a:graphic>
          </wp:anchor>
        </w:drawing>
      </w:r>
      <w:r>
        <w:rPr>
          <w:b/>
          <w:bCs/>
          <w:spacing w:val="7"/>
          <w:sz w:val="47"/>
          <w:szCs w:val="47"/>
        </w:rPr>
        <w:t>项目访谈纪要</w:t>
      </w:r>
    </w:p>
    <w:p>
      <w:pPr>
        <w:shd w:val="clear" w:color="000000" w:fill="FFFFFF"/>
        <w:adjustRightInd w:val="0"/>
        <w:snapToGrid w:val="0"/>
        <w:spacing w:before="72" w:after="72"/>
        <w:jc w:val="right"/>
        <w:rPr>
          <w:spacing w:val="4"/>
          <w:sz w:val="28"/>
          <w:szCs w:val="28"/>
        </w:rPr>
      </w:pPr>
      <w:r>
        <w:rPr>
          <w:spacing w:val="4"/>
          <w:sz w:val="28"/>
          <w:szCs w:val="28"/>
        </w:rPr>
        <w:t>2026年0</w:t>
      </w:r>
      <w:r>
        <w:rPr>
          <w:rFonts w:hint="eastAsia"/>
          <w:spacing w:val="4"/>
          <w:sz w:val="28"/>
          <w:szCs w:val="28"/>
        </w:rPr>
        <w:t>6</w:t>
      </w:r>
      <w:r>
        <w:rPr>
          <w:spacing w:val="4"/>
          <w:sz w:val="28"/>
          <w:szCs w:val="28"/>
        </w:rPr>
        <w:t>月</w:t>
      </w:r>
      <w:r>
        <w:rPr>
          <w:rFonts w:hint="eastAsia"/>
          <w:spacing w:val="4"/>
          <w:sz w:val="28"/>
          <w:szCs w:val="28"/>
        </w:rPr>
        <w:t>02</w:t>
      </w:r>
      <w:r>
        <w:rPr>
          <w:spacing w:val="4"/>
          <w:sz w:val="28"/>
          <w:szCs w:val="28"/>
        </w:rPr>
        <w:t>日</w:t>
      </w:r>
    </w:p>
    <w:p>
      <w:pPr>
        <w:adjustRightInd w:val="0"/>
        <w:snapToGrid w:val="0"/>
        <w:spacing w:before="72" w:after="72"/>
        <w:ind w:leftChars="2800" w:left="6160"/>
        <w:jc w:val="center"/>
        <w:rPr>
          <w:szCs w:val="47"/>
        </w:rPr>
      </w:pPr>
    </w:p>
    <w:p>
      <w:pPr>
        <w:adjustRightInd w:val="0"/>
        <w:snapToGrid w:val="0"/>
        <w:spacing w:before="72" w:after="72"/>
        <w:rPr>
          <w:szCs w:val="24"/>
        </w:rPr>
        <w:sectPr>
          <w:headerReference w:type="default" r:id="rId2"/>
          <w:footerReference w:type="default" r:id="rId3"/>
          <w:footerReference w:type="first" r:id="rId4"/>
          <w:pgSz w:w="12242" w:h="15842"/>
          <w:pgMar w:top="720" w:right="720" w:bottom="720" w:left="720" w:header="794" w:footer="794" w:gutter="0"/>
          <w:titlePg/>
          <w:docGrid w:linePitch="313" w:charSpace="0"/>
        </w:sectPr>
      </w:pPr>
    </w:p>
    <w:bookmarkStart w:id="0" w:name="_Toc193664152" w:displacedByCustomXml="next"/>
    <w:bookmarkStart w:id="1" w:name="_Toc195128129" w:displacedByCustomXml="next"/>
    <w:bookmarkStart w:id="2" w:name="_Toc205542983" w:displacedByCustomXml="next"/>
    <w:bookmarkStart w:id="3" w:name="_Toc198639945" w:displacedByCustomXml="next"/>
    <w:bookmarkStart w:id="4" w:name="_Toc195600856" w:displacedByCustomXml="next"/>
    <w:bookmarkStart w:id="5" w:name="_Toc195128903" w:displacedByCustomXml="next"/>
    <w:bookmarkStart w:id="6" w:name="_Toc193655976" w:displacedByCustomXml="next"/>
    <w:bookmarkStart w:id="7" w:name="_Toc231375139" w:displacedByCustomXml="next"/>
    <w:bookmarkStart w:id="8" w:name="_Toc198556988" w:displacedByCustomXml="next"/>
    <w:bookmarkStart w:id="9" w:name="_Toc206803624" w:displacedByCustomXml="next"/>
    <w:bookmarkStart w:id="10" w:name="_Toc198560039" w:displacedByCustomXml="next"/>
    <w:bookmarkStart w:id="11" w:name="_Toc195127908" w:displacedByCustomXml="next"/>
    <w:bookmarkStart w:id="12" w:name="_Toc198731698" w:displacedByCustomXml="next"/>
    <w:bookmarkStart w:id="13" w:name="_Toc193296507" w:displacedByCustomXml="next"/>
    <w:bookmarkStart w:id="14" w:name="_Toc199965778" w:displacedByCustomXml="next"/>
    <w:bookmarkStart w:id="15" w:name="_Toc231374335" w:displacedByCustomXml="next"/>
    <w:bookmarkStart w:id="16" w:name="_Toc195128209" w:displacedByCustomXml="next"/>
    <w:bookmarkStart w:id="17" w:name="_Toc198905676" w:displacedByCustomXml="next"/>
    <w:bookmarkStart w:id="18" w:name="_Toc206866291" w:displacedByCustomXml="next"/>
    <w:bookmarkStart w:id="19" w:name="_Toc184692644" w:displacedByCustomXml="next"/>
    <w:sdt>
      <w:sdtPr>
        <w:rPr>
          <w:sz w:val="21"/>
        </w:rPr>
        <w:id w:val="-342536695"/>
        <w:docPartObj>
          <w:docPartGallery/>
          <w:docPartUnique/>
        </w:docPartObj>
      </w:sdtPr>
      <w:sdtContent>
        <w:p>
          <w:pPr>
            <w:widowControl/>
            <w:adjustRightInd w:val="0"/>
            <w:snapToGrid w:val="0"/>
            <w:spacing w:beforeLines="50" w:before="120" w:afterLines="50" w:after="120"/>
            <w:ind w:firstLineChars="0" w:firstLine="0"/>
            <w:jc w:val="center"/>
            <w:outlineLvl w:val="0"/>
            <w:rPr>
              <w:b/>
              <w:bCs/>
              <w:sz w:val="32"/>
              <w:szCs w:val="32"/>
            </w:rPr>
          </w:pPr>
          <w:r>
            <w:rPr>
              <w:b/>
              <w:bCs/>
              <w:sz w:val="32"/>
              <w:szCs w:val="32"/>
            </w:rPr>
            <w:t>目录</w:t>
          </w:r>
        </w:p>
        <w:p>
          <w:pPr>
            <w:pStyle w:val="17"/>
            <w:tabs>
              <w:tab w:val="left" w:pos="1260"/>
              <w:tab w:val="right" w:leader="dot" w:pos="9352"/>
            </w:tabs>
            <w:rPr>
              <w:rFonts w:cs="Arial"/>
              <w:sz w:val="28"/>
              <w:szCs w:val="28"/>
            </w:rPr>
          </w:pPr>
        </w:p>
        <w:p>
          <w:pPr>
            <w:pStyle w:val="17"/>
            <w:tabs>
              <w:tab w:val="left" w:pos="1260"/>
              <w:tab w:val="right" w:leader="dot" w:pos="9352"/>
            </w:tabs>
            <w:rPr>
              <w:rFonts w:cs="Arial"/>
              <w:sz w:val="28"/>
              <w:szCs w:val="28"/>
            </w:rPr>
          </w:pPr>
        </w:p>
        <w:p>
          <w:pPr>
            <w:pStyle w:val="17"/>
            <w:tabs>
              <w:tab w:val="left" w:pos="1260"/>
              <w:tab w:val="right" w:leader="dot" w:pos="9352"/>
            </w:tabs>
            <w:spacing w:line="480" w:lineRule="auto"/>
            <w:rPr>
              <w:rFonts w:ascii="等线" w:eastAsia="等线" w:cs="Arial"/>
              <w:b w:val="0"/>
              <w:bCs w:val="0"/>
              <w:kern w:val="2"/>
              <w:sz w:val="28"/>
              <w:szCs w:val="28"/>
            </w:rPr>
          </w:pPr>
          <w:r>
            <w:rPr>
              <w:rFonts w:cs="Arial"/>
              <w:sz w:val="28"/>
              <w:szCs w:val="28"/>
            </w:rPr>
            <w:fldChar w:fldCharType="begin"/>
          </w:r>
          <w:r>
            <w:rPr>
              <w:rFonts w:cs="Arial"/>
              <w:sz w:val="28"/>
              <w:szCs w:val="28"/>
            </w:rPr>
            <w:instrText xml:space="preserve">TOC \o "1-3" \h \u </w:instrText>
          </w:r>
          <w:r>
            <w:rPr>
              <w:rFonts w:cs="Arial"/>
              <w:sz w:val="28"/>
              <w:szCs w:val="28"/>
            </w:rPr>
            <w:fldChar w:fldCharType="separate"/>
          </w:r>
          <w:r>
            <w:fldChar w:fldCharType="begin"/>
          </w:r>
          <w:r>
            <w:instrText>Hyperlink \l "_Toc231375140"</w:instrText>
          </w:r>
          <w:r>
            <w:fldChar w:fldCharType="separate"/>
          </w:r>
          <w:r>
            <w:rPr>
              <w:color w:val="auto"/>
              <w:sz w:val="28"/>
              <w:szCs w:val="28"/>
            </w:rPr>
            <w:t>管理层访谈纪要</w:t>
          </w:r>
          <w:r>
            <w:rPr>
              <w:rFonts w:hint="eastAsia"/>
              <w:sz w:val="28"/>
              <w:szCs w:val="28"/>
            </w:rPr>
            <w:tab/>
          </w:r>
          <w:r>
            <w:rPr>
              <w:sz w:val="28"/>
              <w:szCs w:val="28"/>
            </w:rPr>
            <w:fldChar w:fldCharType="begin"/>
          </w:r>
          <w:r>
            <w:rPr>
              <w:rFonts w:hint="eastAsia"/>
              <w:sz w:val="28"/>
              <w:szCs w:val="28"/>
            </w:rPr>
            <w:instrText xml:space="preserve"> </w:instrText>
          </w:r>
          <w:r>
            <w:rPr>
              <w:sz w:val="28"/>
              <w:szCs w:val="28"/>
            </w:rPr>
            <w:instrText>PAGEREF _Toc231375140 \h</w:instrText>
          </w:r>
          <w:r>
            <w:rPr>
              <w:rFonts w:hint="eastAsia"/>
              <w:sz w:val="28"/>
              <w:szCs w:val="28"/>
            </w:rPr>
            <w:instrText xml:space="preserve"> </w:instrText>
          </w:r>
          <w:r>
            <w:rPr>
              <w:rFonts w:hint="eastAsia"/>
              <w:sz w:val="28"/>
              <w:szCs w:val="28"/>
            </w:rPr>
            <w:fldChar w:fldCharType="separate"/>
          </w:r>
          <w:r>
            <w:rPr>
              <w:sz w:val="28"/>
              <w:szCs w:val="28"/>
            </w:rPr>
            <w:t>3</w:t>
          </w:r>
          <w:r>
            <w:rPr>
              <w:rFonts w:hint="eastAsia"/>
              <w:sz w:val="28"/>
              <w:szCs w:val="28"/>
            </w:rPr>
            <w:fldChar w:fldCharType="end"/>
          </w:r>
          <w:r>
            <w:fldChar w:fldCharType="end"/>
          </w:r>
        </w:p>
        <w:p>
          <w:pPr>
            <w:pStyle w:val="19"/>
            <w:tabs>
              <w:tab w:val="left" w:pos="1260"/>
              <w:tab w:val="right" w:leader="dot" w:pos="9352"/>
            </w:tabs>
            <w:spacing w:line="480" w:lineRule="auto"/>
            <w:rPr>
              <w:rFonts w:ascii="等线" w:eastAsia="等线" w:cs="Arial"/>
              <w:b w:val="0"/>
              <w:bCs w:val="0"/>
              <w:kern w:val="2"/>
              <w:sz w:val="28"/>
              <w:szCs w:val="28"/>
            </w:rPr>
          </w:pPr>
          <w:r>
            <w:fldChar w:fldCharType="begin"/>
          </w:r>
          <w:r>
            <w:instrText>Hyperlink \l "_Toc231375141"</w:instrText>
          </w:r>
          <w:r>
            <w:fldChar w:fldCharType="separate"/>
          </w:r>
          <w:r>
            <w:rPr>
              <w:color w:val="auto"/>
              <w:sz w:val="28"/>
              <w:szCs w:val="28"/>
            </w:rPr>
            <w:t>1 芯片研发负责人</w:t>
          </w:r>
          <w:r>
            <w:rPr>
              <w:rFonts w:hint="eastAsia"/>
              <w:sz w:val="28"/>
              <w:szCs w:val="28"/>
            </w:rPr>
            <w:tab/>
          </w:r>
          <w:r>
            <w:rPr>
              <w:sz w:val="28"/>
              <w:szCs w:val="28"/>
            </w:rPr>
            <w:fldChar w:fldCharType="begin"/>
          </w:r>
          <w:r>
            <w:rPr>
              <w:rFonts w:hint="eastAsia"/>
              <w:sz w:val="28"/>
              <w:szCs w:val="28"/>
            </w:rPr>
            <w:instrText xml:space="preserve"> </w:instrText>
          </w:r>
          <w:r>
            <w:rPr>
              <w:sz w:val="28"/>
              <w:szCs w:val="28"/>
            </w:rPr>
            <w:instrText>PAGEREF _Toc231375141 \h</w:instrText>
          </w:r>
          <w:r>
            <w:rPr>
              <w:rFonts w:hint="eastAsia"/>
              <w:sz w:val="28"/>
              <w:szCs w:val="28"/>
            </w:rPr>
            <w:instrText xml:space="preserve"> </w:instrText>
          </w:r>
          <w:r>
            <w:rPr>
              <w:rFonts w:hint="eastAsia"/>
              <w:sz w:val="28"/>
              <w:szCs w:val="28"/>
            </w:rPr>
            <w:fldChar w:fldCharType="separate"/>
          </w:r>
          <w:r>
            <w:rPr>
              <w:sz w:val="28"/>
              <w:szCs w:val="28"/>
            </w:rPr>
            <w:t>3</w:t>
          </w:r>
          <w:r>
            <w:rPr>
              <w:rFonts w:hint="eastAsia"/>
              <w:sz w:val="28"/>
              <w:szCs w:val="28"/>
            </w:rPr>
            <w:fldChar w:fldCharType="end"/>
          </w:r>
          <w:r>
            <w:fldChar w:fldCharType="end"/>
          </w:r>
        </w:p>
        <w:p>
          <w:pPr>
            <w:pStyle w:val="19"/>
            <w:tabs>
              <w:tab w:val="left" w:pos="1260"/>
              <w:tab w:val="right" w:leader="dot" w:pos="9352"/>
            </w:tabs>
            <w:spacing w:line="480" w:lineRule="auto"/>
            <w:rPr>
              <w:rFonts w:ascii="等线" w:eastAsia="等线" w:cs="Arial"/>
              <w:b w:val="0"/>
              <w:bCs w:val="0"/>
              <w:kern w:val="2"/>
              <w:sz w:val="28"/>
              <w:szCs w:val="28"/>
            </w:rPr>
          </w:pPr>
          <w:r>
            <w:fldChar w:fldCharType="begin"/>
          </w:r>
          <w:r>
            <w:instrText>Hyperlink \l "_Toc231375142"</w:instrText>
          </w:r>
          <w:r>
            <w:fldChar w:fldCharType="separate"/>
          </w:r>
          <w:r>
            <w:rPr>
              <w:color w:val="auto"/>
              <w:sz w:val="28"/>
              <w:szCs w:val="28"/>
            </w:rPr>
            <w:t>2 销售负责人</w:t>
          </w:r>
          <w:r>
            <w:rPr>
              <w:rFonts w:hint="eastAsia"/>
              <w:sz w:val="28"/>
              <w:szCs w:val="28"/>
            </w:rPr>
            <w:tab/>
          </w:r>
          <w:r>
            <w:rPr>
              <w:sz w:val="28"/>
              <w:szCs w:val="28"/>
            </w:rPr>
            <w:fldChar w:fldCharType="begin"/>
          </w:r>
          <w:r>
            <w:rPr>
              <w:rFonts w:hint="eastAsia"/>
              <w:sz w:val="28"/>
              <w:szCs w:val="28"/>
            </w:rPr>
            <w:instrText xml:space="preserve"> </w:instrText>
          </w:r>
          <w:r>
            <w:rPr>
              <w:sz w:val="28"/>
              <w:szCs w:val="28"/>
            </w:rPr>
            <w:instrText>PAGEREF _Toc231375142 \h</w:instrText>
          </w:r>
          <w:r>
            <w:rPr>
              <w:rFonts w:hint="eastAsia"/>
              <w:sz w:val="28"/>
              <w:szCs w:val="28"/>
            </w:rPr>
            <w:instrText xml:space="preserve"> </w:instrText>
          </w:r>
          <w:r>
            <w:rPr>
              <w:rFonts w:hint="eastAsia"/>
              <w:sz w:val="28"/>
              <w:szCs w:val="28"/>
            </w:rPr>
            <w:fldChar w:fldCharType="separate"/>
          </w:r>
          <w:r>
            <w:rPr>
              <w:sz w:val="28"/>
              <w:szCs w:val="28"/>
            </w:rPr>
            <w:t>14</w:t>
          </w:r>
          <w:r>
            <w:rPr>
              <w:rFonts w:hint="eastAsia"/>
              <w:sz w:val="28"/>
              <w:szCs w:val="28"/>
            </w:rPr>
            <w:fldChar w:fldCharType="end"/>
          </w:r>
          <w:r>
            <w:fldChar w:fldCharType="end"/>
          </w:r>
        </w:p>
        <w:p>
          <w:pPr>
            <w:pStyle w:val="19"/>
            <w:tabs>
              <w:tab w:val="left" w:pos="1260"/>
              <w:tab w:val="right" w:leader="dot" w:pos="9352"/>
            </w:tabs>
            <w:spacing w:line="480" w:lineRule="auto"/>
            <w:rPr>
              <w:rFonts w:ascii="等线" w:eastAsia="等线" w:cs="Arial"/>
              <w:b w:val="0"/>
              <w:bCs w:val="0"/>
              <w:kern w:val="2"/>
              <w:sz w:val="28"/>
              <w:szCs w:val="28"/>
            </w:rPr>
          </w:pPr>
          <w:r>
            <w:fldChar w:fldCharType="begin"/>
          </w:r>
          <w:r>
            <w:instrText>Hyperlink \l "_Toc231375143"</w:instrText>
          </w:r>
          <w:r>
            <w:fldChar w:fldCharType="separate"/>
          </w:r>
          <w:r>
            <w:rPr>
              <w:color w:val="auto"/>
              <w:sz w:val="28"/>
              <w:szCs w:val="28"/>
            </w:rPr>
            <w:t>3 整机研发负责人</w:t>
          </w:r>
          <w:r>
            <w:rPr>
              <w:rFonts w:hint="eastAsia"/>
              <w:sz w:val="28"/>
              <w:szCs w:val="28"/>
            </w:rPr>
            <w:tab/>
          </w:r>
          <w:r>
            <w:rPr>
              <w:sz w:val="28"/>
              <w:szCs w:val="28"/>
            </w:rPr>
            <w:fldChar w:fldCharType="begin"/>
          </w:r>
          <w:r>
            <w:rPr>
              <w:rFonts w:hint="eastAsia"/>
              <w:sz w:val="28"/>
              <w:szCs w:val="28"/>
            </w:rPr>
            <w:instrText xml:space="preserve"> </w:instrText>
          </w:r>
          <w:r>
            <w:rPr>
              <w:sz w:val="28"/>
              <w:szCs w:val="28"/>
            </w:rPr>
            <w:instrText>PAGEREF _Toc231375143 \h</w:instrText>
          </w:r>
          <w:r>
            <w:rPr>
              <w:rFonts w:hint="eastAsia"/>
              <w:sz w:val="28"/>
              <w:szCs w:val="28"/>
            </w:rPr>
            <w:instrText xml:space="preserve"> </w:instrText>
          </w:r>
          <w:r>
            <w:rPr>
              <w:rFonts w:hint="eastAsia"/>
              <w:sz w:val="28"/>
              <w:szCs w:val="28"/>
            </w:rPr>
            <w:fldChar w:fldCharType="separate"/>
          </w:r>
          <w:r>
            <w:rPr>
              <w:sz w:val="28"/>
              <w:szCs w:val="28"/>
            </w:rPr>
            <w:t>27</w:t>
          </w:r>
          <w:r>
            <w:rPr>
              <w:rFonts w:hint="eastAsia"/>
              <w:sz w:val="28"/>
              <w:szCs w:val="28"/>
            </w:rPr>
            <w:fldChar w:fldCharType="end"/>
          </w:r>
          <w:r>
            <w:fldChar w:fldCharType="end"/>
          </w:r>
        </w:p>
        <w:p>
          <w:pPr>
            <w:pStyle w:val="19"/>
            <w:tabs>
              <w:tab w:val="left" w:pos="1260"/>
              <w:tab w:val="right" w:leader="dot" w:pos="9352"/>
            </w:tabs>
            <w:spacing w:line="480" w:lineRule="auto"/>
            <w:rPr>
              <w:rFonts w:ascii="等线" w:eastAsia="等线" w:cs="Arial"/>
              <w:b w:val="0"/>
              <w:bCs w:val="0"/>
              <w:kern w:val="2"/>
              <w:sz w:val="28"/>
              <w:szCs w:val="28"/>
            </w:rPr>
          </w:pPr>
          <w:r>
            <w:fldChar w:fldCharType="begin"/>
          </w:r>
          <w:r>
            <w:instrText>Hyperlink \l "_Toc231375144"</w:instrText>
          </w:r>
          <w:r>
            <w:fldChar w:fldCharType="separate"/>
          </w:r>
          <w:r>
            <w:rPr>
              <w:color w:val="auto"/>
              <w:sz w:val="28"/>
              <w:szCs w:val="28"/>
            </w:rPr>
            <w:t>4 董事长</w:t>
          </w:r>
          <w:r>
            <w:rPr>
              <w:rFonts w:hint="eastAsia"/>
              <w:sz w:val="28"/>
              <w:szCs w:val="28"/>
            </w:rPr>
            <w:tab/>
          </w:r>
          <w:r>
            <w:rPr>
              <w:sz w:val="28"/>
              <w:szCs w:val="28"/>
            </w:rPr>
            <w:fldChar w:fldCharType="begin"/>
          </w:r>
          <w:r>
            <w:rPr>
              <w:rFonts w:hint="eastAsia"/>
              <w:sz w:val="28"/>
              <w:szCs w:val="28"/>
            </w:rPr>
            <w:instrText xml:space="preserve"> </w:instrText>
          </w:r>
          <w:r>
            <w:rPr>
              <w:sz w:val="28"/>
              <w:szCs w:val="28"/>
            </w:rPr>
            <w:instrText>PAGEREF _Toc231375144 \h</w:instrText>
          </w:r>
          <w:r>
            <w:rPr>
              <w:rFonts w:hint="eastAsia"/>
              <w:sz w:val="28"/>
              <w:szCs w:val="28"/>
            </w:rPr>
            <w:instrText xml:space="preserve"> </w:instrText>
          </w:r>
          <w:r>
            <w:rPr>
              <w:rFonts w:hint="eastAsia"/>
              <w:sz w:val="28"/>
              <w:szCs w:val="28"/>
            </w:rPr>
            <w:fldChar w:fldCharType="separate"/>
          </w:r>
          <w:r>
            <w:rPr>
              <w:sz w:val="28"/>
              <w:szCs w:val="28"/>
            </w:rPr>
            <w:t>36</w:t>
          </w:r>
          <w:r>
            <w:rPr>
              <w:rFonts w:hint="eastAsia"/>
              <w:sz w:val="28"/>
              <w:szCs w:val="28"/>
            </w:rPr>
            <w:fldChar w:fldCharType="end"/>
          </w:r>
          <w:r>
            <w:fldChar w:fldCharType="end"/>
          </w:r>
        </w:p>
        <w:p>
          <w:pPr>
            <w:pStyle w:val="19"/>
            <w:tabs>
              <w:tab w:val="left" w:pos="1260"/>
              <w:tab w:val="right" w:leader="dot" w:pos="9352"/>
            </w:tabs>
            <w:spacing w:line="480" w:lineRule="auto"/>
            <w:rPr>
              <w:rFonts w:ascii="等线" w:eastAsia="等线" w:cs="Arial"/>
              <w:b w:val="0"/>
              <w:bCs w:val="0"/>
              <w:kern w:val="2"/>
              <w:sz w:val="28"/>
              <w:szCs w:val="28"/>
            </w:rPr>
          </w:pPr>
          <w:r>
            <w:fldChar w:fldCharType="begin"/>
          </w:r>
          <w:r>
            <w:instrText>Hyperlink \l "_Toc231375145"</w:instrText>
          </w:r>
          <w:r>
            <w:fldChar w:fldCharType="separate"/>
          </w:r>
          <w:r>
            <w:rPr>
              <w:color w:val="auto"/>
              <w:sz w:val="28"/>
              <w:szCs w:val="28"/>
            </w:rPr>
            <w:t>5 财务融资负责人</w:t>
          </w:r>
          <w:r>
            <w:rPr>
              <w:rFonts w:hint="eastAsia"/>
              <w:sz w:val="28"/>
              <w:szCs w:val="28"/>
            </w:rPr>
            <w:tab/>
          </w:r>
          <w:r>
            <w:rPr>
              <w:sz w:val="28"/>
              <w:szCs w:val="28"/>
            </w:rPr>
            <w:fldChar w:fldCharType="begin"/>
          </w:r>
          <w:r>
            <w:rPr>
              <w:rFonts w:hint="eastAsia"/>
              <w:sz w:val="28"/>
              <w:szCs w:val="28"/>
            </w:rPr>
            <w:instrText xml:space="preserve"> </w:instrText>
          </w:r>
          <w:r>
            <w:rPr>
              <w:sz w:val="28"/>
              <w:szCs w:val="28"/>
            </w:rPr>
            <w:instrText>PAGEREF _Toc231375145 \h</w:instrText>
          </w:r>
          <w:r>
            <w:rPr>
              <w:rFonts w:hint="eastAsia"/>
              <w:sz w:val="28"/>
              <w:szCs w:val="28"/>
            </w:rPr>
            <w:instrText xml:space="preserve"> </w:instrText>
          </w:r>
          <w:r>
            <w:rPr>
              <w:rFonts w:hint="eastAsia"/>
              <w:sz w:val="28"/>
              <w:szCs w:val="28"/>
            </w:rPr>
            <w:fldChar w:fldCharType="separate"/>
          </w:r>
          <w:r>
            <w:rPr>
              <w:sz w:val="28"/>
              <w:szCs w:val="28"/>
            </w:rPr>
            <w:t>42</w:t>
          </w:r>
          <w:r>
            <w:rPr>
              <w:rFonts w:hint="eastAsia"/>
              <w:sz w:val="28"/>
              <w:szCs w:val="28"/>
            </w:rPr>
            <w:fldChar w:fldCharType="end"/>
          </w:r>
          <w:r>
            <w:fldChar w:fldCharType="end"/>
          </w:r>
        </w:p>
        <w:p>
          <w:pPr>
            <w:pStyle w:val="19"/>
            <w:tabs>
              <w:tab w:val="left" w:pos="1260"/>
              <w:tab w:val="right" w:leader="dot" w:pos="9352"/>
            </w:tabs>
            <w:spacing w:line="480" w:lineRule="auto"/>
            <w:rPr>
              <w:rFonts w:ascii="等线" w:eastAsia="等线" w:cs="Arial"/>
              <w:b w:val="0"/>
              <w:bCs w:val="0"/>
              <w:kern w:val="2"/>
              <w:sz w:val="28"/>
              <w:szCs w:val="28"/>
            </w:rPr>
          </w:pPr>
          <w:r>
            <w:fldChar w:fldCharType="begin"/>
          </w:r>
          <w:r>
            <w:instrText>Hyperlink \l "_Toc231375146"</w:instrText>
          </w:r>
          <w:r>
            <w:fldChar w:fldCharType="separate"/>
          </w:r>
          <w:r>
            <w:rPr>
              <w:color w:val="auto"/>
              <w:sz w:val="28"/>
              <w:szCs w:val="28"/>
            </w:rPr>
            <w:t xml:space="preserve">6 </w:t>
          </w:r>
          <w:r>
            <w:rPr>
              <w:rFonts w:hint="eastAsia"/>
              <w:color w:val="auto"/>
              <w:sz w:val="28"/>
              <w:szCs w:val="28"/>
            </w:rPr>
            <w:t>采购</w:t>
          </w:r>
          <w:r>
            <w:rPr>
              <w:color w:val="auto"/>
              <w:sz w:val="28"/>
              <w:szCs w:val="28"/>
            </w:rPr>
            <w:t>负责人</w:t>
          </w:r>
          <w:r>
            <w:rPr>
              <w:rFonts w:hint="eastAsia"/>
              <w:sz w:val="28"/>
              <w:szCs w:val="28"/>
            </w:rPr>
            <w:tab/>
          </w:r>
          <w:r>
            <w:rPr>
              <w:sz w:val="28"/>
              <w:szCs w:val="28"/>
            </w:rPr>
            <w:fldChar w:fldCharType="begin"/>
          </w:r>
          <w:r>
            <w:rPr>
              <w:rFonts w:hint="eastAsia"/>
              <w:sz w:val="28"/>
              <w:szCs w:val="28"/>
            </w:rPr>
            <w:instrText xml:space="preserve"> </w:instrText>
          </w:r>
          <w:r>
            <w:rPr>
              <w:sz w:val="28"/>
              <w:szCs w:val="28"/>
            </w:rPr>
            <w:instrText>PAGEREF _Toc231375146 \h</w:instrText>
          </w:r>
          <w:r>
            <w:rPr>
              <w:rFonts w:hint="eastAsia"/>
              <w:sz w:val="28"/>
              <w:szCs w:val="28"/>
            </w:rPr>
            <w:instrText xml:space="preserve"> </w:instrText>
          </w:r>
          <w:r>
            <w:rPr>
              <w:rFonts w:hint="eastAsia"/>
              <w:sz w:val="28"/>
              <w:szCs w:val="28"/>
            </w:rPr>
            <w:fldChar w:fldCharType="separate"/>
          </w:r>
          <w:r>
            <w:rPr>
              <w:sz w:val="28"/>
              <w:szCs w:val="28"/>
            </w:rPr>
            <w:t>51</w:t>
          </w:r>
          <w:r>
            <w:rPr>
              <w:rFonts w:hint="eastAsia"/>
              <w:sz w:val="28"/>
              <w:szCs w:val="28"/>
            </w:rPr>
            <w:fldChar w:fldCharType="end"/>
          </w:r>
          <w:r>
            <w:fldChar w:fldCharType="end"/>
          </w:r>
        </w:p>
        <w:p>
          <w:pPr>
            <w:pStyle w:val="19"/>
            <w:tabs>
              <w:tab w:val="left" w:pos="1260"/>
              <w:tab w:val="right" w:leader="dot" w:pos="9352"/>
            </w:tabs>
            <w:spacing w:line="480" w:lineRule="auto"/>
            <w:rPr>
              <w:rFonts w:ascii="等线" w:eastAsia="等线" w:cs="Arial"/>
              <w:b w:val="0"/>
              <w:bCs w:val="0"/>
              <w:kern w:val="2"/>
              <w:sz w:val="28"/>
              <w:szCs w:val="28"/>
            </w:rPr>
          </w:pPr>
          <w:r>
            <w:fldChar w:fldCharType="begin"/>
          </w:r>
          <w:r>
            <w:instrText>Hyperlink \l "_Toc231375147"</w:instrText>
          </w:r>
          <w:r>
            <w:fldChar w:fldCharType="separate"/>
          </w:r>
          <w:r>
            <w:rPr>
              <w:color w:val="auto"/>
              <w:sz w:val="28"/>
              <w:szCs w:val="28"/>
            </w:rPr>
            <w:t>7 法务负责人</w:t>
          </w:r>
          <w:r>
            <w:rPr>
              <w:rFonts w:hint="eastAsia"/>
              <w:sz w:val="28"/>
              <w:szCs w:val="28"/>
            </w:rPr>
            <w:tab/>
          </w:r>
          <w:r>
            <w:rPr>
              <w:sz w:val="28"/>
              <w:szCs w:val="28"/>
            </w:rPr>
            <w:fldChar w:fldCharType="begin"/>
          </w:r>
          <w:r>
            <w:rPr>
              <w:rFonts w:hint="eastAsia"/>
              <w:sz w:val="28"/>
              <w:szCs w:val="28"/>
            </w:rPr>
            <w:instrText xml:space="preserve"> </w:instrText>
          </w:r>
          <w:r>
            <w:rPr>
              <w:sz w:val="28"/>
              <w:szCs w:val="28"/>
            </w:rPr>
            <w:instrText>PAGEREF _Toc231375147 \h</w:instrText>
          </w:r>
          <w:r>
            <w:rPr>
              <w:rFonts w:hint="eastAsia"/>
              <w:sz w:val="28"/>
              <w:szCs w:val="28"/>
            </w:rPr>
            <w:instrText xml:space="preserve"> </w:instrText>
          </w:r>
          <w:r>
            <w:rPr>
              <w:rFonts w:hint="eastAsia"/>
              <w:sz w:val="28"/>
              <w:szCs w:val="28"/>
            </w:rPr>
            <w:fldChar w:fldCharType="separate"/>
          </w:r>
          <w:r>
            <w:rPr>
              <w:sz w:val="28"/>
              <w:szCs w:val="28"/>
            </w:rPr>
            <w:t>57</w:t>
          </w:r>
          <w:r>
            <w:rPr>
              <w:rFonts w:hint="eastAsia"/>
              <w:sz w:val="28"/>
              <w:szCs w:val="28"/>
            </w:rPr>
            <w:fldChar w:fldCharType="end"/>
          </w:r>
          <w:r>
            <w:fldChar w:fldCharType="end"/>
          </w:r>
        </w:p>
        <w:p>
          <w:pPr>
            <w:pStyle w:val="19"/>
            <w:tabs>
              <w:tab w:val="left" w:pos="1260"/>
              <w:tab w:val="right" w:leader="dot" w:pos="9352"/>
            </w:tabs>
            <w:ind w:firstLineChars="157" w:firstLine="440"/>
            <w:rPr>
              <w:rFonts w:ascii="等线" w:eastAsia="等线" w:cs="Arial"/>
              <w:b w:val="0"/>
              <w:bCs w:val="0"/>
              <w:kern w:val="2"/>
              <w:sz w:val="28"/>
              <w:szCs w:val="28"/>
            </w:rPr>
          </w:pPr>
        </w:p>
        <w:p>
          <w:pPr>
            <w:adjustRightInd w:val="0"/>
            <w:snapToGrid w:val="0"/>
            <w:spacing w:before="72" w:after="72"/>
            <w:rPr>
              <w:b/>
              <w:bCs/>
              <w:sz w:val="28"/>
              <w:szCs w:val="28"/>
            </w:rPr>
          </w:pPr>
          <w:r>
            <w:rPr>
              <w:szCs w:val="28"/>
            </w:rPr>
            <w:fldChar w:fldCharType="end"/>
          </w:r>
        </w:p>
      </w:sdtContent>
    </w:sdt>
    <w:p>
      <w:pPr>
        <w:pStyle w:val="20"/>
        <w:adjustRightInd w:val="0"/>
        <w:snapToGrid w:val="0"/>
        <w:contextualSpacing w:val="0"/>
        <w:rPr>
          <w:rFonts w:ascii="Arial" w:cs="Arial" w:hAnsi="Arial"/>
        </w:rPr>
        <w:sectPr>
          <w:footerReference w:type="default" r:id="rId6"/>
          <w:pgSz w:w="12242" w:h="15842"/>
          <w:pgMar w:top="1440" w:right="1440" w:bottom="1440" w:left="1440" w:header="794" w:footer="794" w:gutter="0"/>
          <w:docGrid w:linePitch="313" w:charSpace="0"/>
        </w:sectPr>
      </w:pPr>
      <w:bookmarkStart w:id="20" w:name="_Toc205543032"/>
      <w:bookmarkEnd w:id="19"/>
    </w:p>
    <w:p>
      <w:pPr>
        <w:widowControl/>
        <w:overflowPunct w:val="0"/>
        <w:topLinePunct/>
        <w:adjustRightInd w:val="0"/>
        <w:snapToGrid w:val="0"/>
        <w:spacing w:line="240" w:lineRule="auto"/>
        <w:ind w:firstLineChars="0" w:firstLine="0"/>
        <w:outlineLvl w:val="0"/>
        <w:rPr>
          <w:b/>
          <w:bCs/>
          <w:sz w:val="28"/>
          <w:szCs w:val="28"/>
        </w:rPr>
      </w:pPr>
      <w:bookmarkStart w:id="21" w:name="_Toc231375140"/>
      <w:bookmarkEnd w:id="20"/>
      <w:r>
        <w:rPr>
          <w:b/>
          <w:sz w:val="32"/>
          <w:szCs w:val="32"/>
        </w:rPr>
        <w:t>附录</w:t>
      </w:r>
      <w:r>
        <w:rPr>
          <w:rFonts w:hint="eastAsia"/>
          <w:b/>
          <w:sz w:val="32"/>
          <w:szCs w:val="32"/>
        </w:rPr>
        <w:t>一管理层访谈纪要</w:t>
      </w:r>
      <w:bookmarkEnd w:id="21"/>
    </w:p>
    <w:p>
      <w:pPr>
        <w:widowControl/>
        <w:numPr>
          <w:ilvl w:val="0"/>
          <w:numId w:val="1"/>
        </w:numPr>
        <w:overflowPunct w:val="0"/>
        <w:topLinePunct/>
        <w:adjustRightInd w:val="0"/>
        <w:snapToGrid w:val="0"/>
        <w:spacing w:after="160" w:line="240" w:lineRule="auto"/>
        <w:ind w:firstLineChars="0"/>
        <w:jc w:val="left"/>
        <w:outlineLvl w:val="1"/>
        <w:rPr>
          <w:b/>
          <w:bCs/>
          <w:sz w:val="28"/>
          <w:szCs w:val="28"/>
        </w:rPr>
      </w:pPr>
      <w:bookmarkStart w:id="22" w:name="_Toc231375141"/>
      <w:r>
        <w:rPr>
          <w:rFonts w:hint="eastAsia"/>
          <w:b/>
          <w:bCs/>
          <w:sz w:val="28"/>
          <w:szCs w:val="28"/>
        </w:rPr>
        <w:t>芯片研发负责人</w:t>
      </w:r>
      <w:bookmarkEnd w:id="22"/>
    </w:p>
    <w:p>
      <w:pPr>
        <w:widowControl/>
        <w:adjustRightInd w:val="0"/>
        <w:snapToGrid w:val="0"/>
        <w:spacing w:line="240" w:lineRule="auto"/>
        <w:ind w:firstLineChars="0" w:firstLine="0"/>
        <w:jc w:val="left"/>
        <w:rPr>
          <w:b/>
          <w:bCs/>
          <w:sz w:val="28"/>
          <w:szCs w:val="28"/>
        </w:rPr>
      </w:pPr>
      <w:r>
        <w:rPr>
          <w:rFonts w:hint="eastAsia"/>
          <w:b/>
          <w:bCs/>
          <w:sz w:val="28"/>
          <w:szCs w:val="28"/>
        </w:rPr>
        <w:t>访谈时间：2026年5月28日</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关键信息</w:t>
      </w:r>
    </w:p>
    <w:p>
      <w:pPr>
        <w:widowControl/>
        <w:numPr>
          <w:ilvl w:val="0"/>
          <w:numId w:val="2"/>
        </w:numPr>
        <w:overflowPunct w:val="0"/>
        <w:topLinePunct/>
        <w:adjustRightInd w:val="0"/>
        <w:snapToGrid w:val="0"/>
        <w:spacing w:line="240" w:lineRule="auto"/>
        <w:ind w:firstLineChars="0"/>
        <w:rPr>
          <w:b/>
          <w:bCs/>
          <w:sz w:val="28"/>
          <w:szCs w:val="28"/>
          <w:u w:val="single"/>
        </w:rPr>
      </w:pPr>
      <w:r>
        <w:rPr>
          <w:rFonts w:hint="eastAsia"/>
          <w:b/>
          <w:bCs/>
          <w:sz w:val="28"/>
          <w:szCs w:val="28"/>
          <w:u w:val="single"/>
        </w:rPr>
        <w:t>本人毕业于南京理工大学微电子专业，深耕半导体行业多年，拥有二十余年芯片研发、项目管理与商务拓展经验，职业履历覆盖芯片设计、验证、系统架构、项目管理及商务BD等全链条领域。职业生涯先后任职于多家行业头部企业，曾在贝尔实验室拆分的GR系统（后被LSI收购）担任研发团队负责人，任职六年多，主攻自研架构ASIC网络处理器研发；在TI任职九年，作为研发初创核心人员获评公司专家、晋升高级经理，主导16位/32位MCU及ARM架构嵌入式CPU芯片研发；在ARM任职三年多，担任研发与项目管理总监，深耕ARM全系列CPU架构及NPU处理器开发，后续还在新加坡第三方服务公司负责芯片项目商务BD与PMO工作。本人并非通过普通社招入职中诚华隆，与公司王总相识三年以上，此前以外协身份参与公司芯片项目合作一年多，于2025年底全职入职，现任中诚华隆上海研发中心副主任，研发中心主任由王总兼任，后续任职将根据个人工作表现由公司评估调整，核心负责CPU、GPU、QPU芯片项目研发团队管理工作。</w:t>
      </w:r>
    </w:p>
    <w:p>
      <w:pPr>
        <w:widowControl/>
        <w:numPr>
          <w:ilvl w:val="0"/>
          <w:numId w:val="2"/>
        </w:numPr>
        <w:overflowPunct w:val="0"/>
        <w:topLinePunct/>
        <w:adjustRightInd w:val="0"/>
        <w:snapToGrid w:val="0"/>
        <w:spacing w:line="240" w:lineRule="auto"/>
        <w:ind w:firstLineChars="0"/>
        <w:rPr>
          <w:b/>
          <w:bCs/>
          <w:sz w:val="28"/>
          <w:szCs w:val="28"/>
          <w:u w:val="single"/>
        </w:rPr>
      </w:pPr>
      <w:r>
        <w:rPr>
          <w:rFonts w:hint="eastAsia"/>
          <w:b/>
          <w:bCs/>
          <w:sz w:val="28"/>
          <w:szCs w:val="28"/>
          <w:u w:val="single"/>
        </w:rPr>
        <w:t>中诚华隆上海研发中心为独立研发机构，现有团队130余人，依据芯片研发核心环节划分为五大功能清晰的专业团队。其中7人的系统架构团队，负责芯片整体定义、技术路线与长期规划；29人的前端设计团队，承担芯片RTL代码编写等核心前端设计工作；32人的后端研发团队，负责网表转换、版图落地等工艺实现工作；37人的验证测试团队，全方位保障芯片功能与研发质量；26人的软件开发团队，配套研发芯片所需全套软件栈，支撑产品落地应用，人员配置充分匹配各研发环节工作量需求。公司建立了标准化的SOC芯片全流程研发体系，整体分为需求收集、架构规格定义、前端与同步软件开发、芯片验证优化、代码综合处理、后端落地研发、交付流片、配套准备、回片测试、市场发布十大递进式核心环节，同时通过FPGA原型仿真、硬件加速仿真等专项技术，搭配严格的工艺、时序、电气检测，全方位保障芯片研发的规范性、稳定性与落地效率，中大型芯片首版流片整体研发周期约12-16个月。</w:t>
      </w:r>
    </w:p>
    <w:p>
      <w:pPr>
        <w:widowControl/>
        <w:numPr>
          <w:ilvl w:val="0"/>
          <w:numId w:val="2"/>
        </w:numPr>
        <w:overflowPunct w:val="0"/>
        <w:topLinePunct/>
        <w:adjustRightInd w:val="0"/>
        <w:snapToGrid w:val="0"/>
        <w:spacing w:line="240" w:lineRule="auto"/>
        <w:ind w:firstLineChars="0"/>
        <w:rPr>
          <w:b/>
          <w:bCs/>
          <w:sz w:val="28"/>
          <w:szCs w:val="28"/>
          <w:u w:val="single"/>
        </w:rPr>
      </w:pPr>
      <w:r>
        <w:rPr>
          <w:rFonts w:hint="eastAsia"/>
          <w:b/>
          <w:bCs/>
          <w:sz w:val="28"/>
          <w:szCs w:val="28"/>
          <w:u w:val="single"/>
        </w:rPr>
        <w:t>公司目前聚焦三大核心芯片产品线研发，同时布局下一代技术迭代，核心覆盖AI推理GPU、自研异构服务器CPU、量超融合QPU三大领域。GPU产品为公司核心落地品类，主力迭代产品HL200是初代HL100的全方位升级版本，核心定位纯AI推理场景，不主打模型训练市场，契合当下AI市场推理需求占比更高的行业趋势。HL100采用12纳米制程工艺，凭借低功耗、低成本、大容量存储的优势，可满足基础ChatGPT对话及无严苛实时要求的多模态推理商用需求，但存在低精度推理格式缺失、存储带宽偏低的短板，场景适配存在局限。</w:t>
      </w:r>
    </w:p>
    <w:p>
      <w:pPr>
        <w:widowControl/>
        <w:numPr>
          <w:ilvl w:val="0"/>
          <w:numId w:val="2"/>
        </w:numPr>
        <w:overflowPunct w:val="0"/>
        <w:topLinePunct/>
        <w:adjustRightInd w:val="0"/>
        <w:snapToGrid w:val="0"/>
        <w:spacing w:line="240" w:lineRule="auto"/>
        <w:ind w:firstLineChars="0"/>
        <w:rPr>
          <w:b/>
          <w:bCs/>
          <w:sz w:val="28"/>
          <w:szCs w:val="28"/>
          <w:u w:val="single"/>
        </w:rPr>
      </w:pPr>
      <w:r>
        <w:rPr>
          <w:rFonts w:hint="eastAsia"/>
          <w:b/>
          <w:bCs/>
          <w:sz w:val="28"/>
          <w:szCs w:val="28"/>
          <w:u w:val="single"/>
        </w:rPr>
        <w:t>迭代后的HL200补齐前代产品短板，搭载HBM高带宽存储，带宽接近5TB，新增FP4低精度推理专项优化，推理算力达到行业同类竞品两倍以上，同时强化超节点扩展能力、升级存储容量，可适配长上下文、多专家大模型及各类实时多模态推理场景，整体性能对标华为950、待发布的960产品，部分指标优于英伟达H200，仅极致超高带宽场景略逊于英伟达B200，若无流片问题明年上半年即可上市，最晚明年9-10月完成落地。该系列GPU采用完全自研异构融合架构，兼顾通用算力与专用推理算力优势，规避了纯通用架构算力冗余、纯专用架构适配性差的弊端，核心算力、NPU张量计算单元等核心模块均为自主研发，仅高速接口、EDA工具等非核心模块采购行业成熟IP，保障核心技术自主可控。</w:t>
      </w:r>
    </w:p>
    <w:p>
      <w:pPr>
        <w:widowControl/>
        <w:numPr>
          <w:ilvl w:val="0"/>
          <w:numId w:val="2"/>
        </w:numPr>
        <w:overflowPunct w:val="0"/>
        <w:topLinePunct/>
        <w:adjustRightInd w:val="0"/>
        <w:snapToGrid w:val="0"/>
        <w:spacing w:line="240" w:lineRule="auto"/>
        <w:ind w:firstLineChars="0"/>
        <w:rPr>
          <w:b/>
          <w:bCs/>
          <w:sz w:val="28"/>
          <w:szCs w:val="28"/>
          <w:u w:val="single"/>
        </w:rPr>
      </w:pPr>
      <w:r>
        <w:rPr>
          <w:rFonts w:hint="eastAsia"/>
          <w:b/>
          <w:bCs/>
          <w:sz w:val="28"/>
          <w:szCs w:val="28"/>
          <w:u w:val="single"/>
        </w:rPr>
        <w:t>除GPU产品线外，公司自研服务器CPU与量子融合QPU芯片稳步推进研发。自研服务器CPU采用申威架构与RISC-V架构结合的异构混合自研设计，拥有完全自主知识产权，选定6纳米或7纳米制程工艺，规划集成128个计算核、主频突破3.0GHz，重点优化功耗控制与AI服务器场景适配能力，目前处于架构探索搭建阶段，预计2027年6月底正式发布，其核心短板为受制程工艺限制，与国外2-4纳米高端CPU存在性能差距，但通过多项自研系统优化技术，可在国内同工艺产品中稳居行业前列。</w:t>
      </w:r>
    </w:p>
    <w:p>
      <w:pPr>
        <w:widowControl/>
        <w:numPr>
          <w:ilvl w:val="0"/>
          <w:numId w:val="2"/>
        </w:numPr>
        <w:overflowPunct w:val="0"/>
        <w:topLinePunct/>
        <w:adjustRightInd w:val="0"/>
        <w:snapToGrid w:val="0"/>
        <w:spacing w:line="240" w:lineRule="auto"/>
        <w:ind w:firstLineChars="0"/>
        <w:rPr>
          <w:b/>
          <w:bCs/>
          <w:sz w:val="28"/>
          <w:szCs w:val="28"/>
          <w:u w:val="single"/>
        </w:rPr>
      </w:pPr>
      <w:r>
        <w:rPr>
          <w:rFonts w:hint="eastAsia"/>
          <w:b/>
          <w:bCs/>
          <w:sz w:val="28"/>
          <w:szCs w:val="28"/>
          <w:u w:val="single"/>
        </w:rPr>
        <w:t>量子QPU芯片与北京量子院、哈工大校企联合研发模式，实验室量子芯片已经完成，正在进行产业级量子芯片研发，打造量子计算、超算与AI计算协同的量子芯片，后续将开展与GPU联调工作，预计今年正式发布。此外，公司与沈院士团队展开深度合作，聚焦系统级可信计算技术，联合研发可信计算SOC芯片，并计划将该技术植入自研CPU、GPU产品，构建安全可靠的底层算力运行环境。</w:t>
      </w:r>
    </w:p>
    <w:p>
      <w:pPr>
        <w:widowControl/>
        <w:numPr>
          <w:ilvl w:val="0"/>
          <w:numId w:val="2"/>
        </w:numPr>
        <w:overflowPunct w:val="0"/>
        <w:topLinePunct/>
        <w:adjustRightInd w:val="0"/>
        <w:snapToGrid w:val="0"/>
        <w:spacing w:line="240" w:lineRule="auto"/>
        <w:ind w:firstLineChars="0"/>
        <w:rPr>
          <w:b/>
          <w:bCs/>
          <w:sz w:val="28"/>
          <w:szCs w:val="28"/>
          <w:u w:val="single"/>
        </w:rPr>
      </w:pPr>
      <w:r>
        <w:rPr>
          <w:rFonts w:hint="eastAsia"/>
          <w:b/>
          <w:bCs/>
          <w:sz w:val="28"/>
          <w:szCs w:val="28"/>
          <w:u w:val="single"/>
        </w:rPr>
        <w:t>公司芯片产品具备显著的成本与市场竞争优势，低成本核心源于架构精准优化与硬件合理选型，自研推理芯片专为推理场景定制，精简通用架构冗余，缩小芯片面积、降低硬件成本，同时搭配高性价比存储方案，实现采购与运营功耗双重降本。</w:t>
      </w:r>
    </w:p>
    <w:p>
      <w:pPr>
        <w:widowControl/>
        <w:numPr>
          <w:ilvl w:val="0"/>
          <w:numId w:val="2"/>
        </w:numPr>
        <w:overflowPunct w:val="0"/>
        <w:topLinePunct/>
        <w:adjustRightInd w:val="0"/>
        <w:snapToGrid w:val="0"/>
        <w:spacing w:line="240" w:lineRule="auto"/>
        <w:ind w:firstLineChars="0"/>
        <w:rPr>
          <w:b/>
          <w:bCs/>
          <w:sz w:val="28"/>
          <w:szCs w:val="28"/>
          <w:u w:val="single"/>
        </w:rPr>
      </w:pPr>
      <w:r>
        <w:rPr>
          <w:rFonts w:hint="eastAsia"/>
          <w:b/>
          <w:bCs/>
          <w:sz w:val="28"/>
          <w:szCs w:val="28"/>
          <w:u w:val="single"/>
        </w:rPr>
        <w:t>相较于市面同类推理GPU竞品，虽竞品采用先进制程具备小幅工艺优势，但我方产品凭借HBM高带宽配置、更大的芯片逻辑规模，核心算力、存储带宽等关键指标领先竞品20%-40%，综合性能与市场竞争力更强。市场端方面，公司核心B端客户聚焦国家级与省级算力中心、三大运营商，契合国内AI算力国家统一调度的布局模式，依托稳定的算力中心采购需求实现批量落地，同时与光环云等头部企业开展合作洽谈，进一步拓宽市场渠道，产品可全面覆盖国内主流AI商用推理场景。</w:t>
      </w:r>
    </w:p>
    <w:p>
      <w:pPr>
        <w:widowControl/>
        <w:adjustRightInd w:val="0"/>
        <w:snapToGrid w:val="0"/>
        <w:spacing w:line="240" w:lineRule="auto"/>
        <w:ind w:firstLineChars="0" w:firstLine="0"/>
        <w:jc w:val="left"/>
        <w:rPr>
          <w:b/>
          <w:bCs/>
          <w:sz w:val="28"/>
          <w:szCs w:val="28"/>
        </w:rPr>
      </w:pPr>
      <w:r>
        <w:rPr>
          <w:rFonts w:hint="eastAsia"/>
          <w:b/>
          <w:bCs/>
          <w:sz w:val="28"/>
          <w:szCs w:val="28"/>
        </w:rPr>
        <w:t>具体内容</w:t>
      </w:r>
    </w:p>
    <w:p>
      <w:pPr>
        <w:widowControl/>
        <w:adjustRightInd w:val="0"/>
        <w:snapToGrid w:val="0"/>
        <w:spacing w:line="240" w:lineRule="auto"/>
        <w:ind w:firstLineChars="0" w:firstLine="0"/>
        <w:jc w:val="left"/>
        <w:rPr>
          <w:sz w:val="28"/>
          <w:szCs w:val="28"/>
        </w:rPr>
      </w:pPr>
      <w:r>
        <w:rPr>
          <w:b/>
          <w:bCs/>
          <w:sz w:val="28"/>
          <w:szCs w:val="28"/>
        </w:rPr>
        <w:t>Q：请简单做自我介绍，介绍过往履历、就职公司及担任职位</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我2002年毕业于南京理工大学微电子专业，毕业后深耕半导体行业多年，职业发展覆盖芯片设计、验证、系统架构、项目管理及商务BD等多个领域。职业生涯中任职时间较长的企业及岗位如下：曾任职于贝尔实验室</w:t>
      </w:r>
      <w:r>
        <w:rPr>
          <w:rFonts w:hint="eastAsia"/>
          <w:sz w:val="28"/>
          <w:szCs w:val="28"/>
        </w:rPr>
        <w:t>，</w:t>
      </w:r>
      <w:r>
        <w:rPr>
          <w:sz w:val="28"/>
          <w:szCs w:val="28"/>
        </w:rPr>
        <w:t>任职六年多，担任研发团队负责人；在T</w:t>
      </w:r>
      <w:r>
        <w:rPr>
          <w:rFonts w:hint="eastAsia"/>
          <w:sz w:val="28"/>
          <w:szCs w:val="28"/>
        </w:rPr>
        <w:t>I</w:t>
      </w:r>
      <w:r>
        <w:rPr>
          <w:sz w:val="28"/>
          <w:szCs w:val="28"/>
        </w:rPr>
        <w:t>任职九年，是公司研发团队初创核心人员，获评公司专家，后续晋升高级经理；在ARM任职三年多，担任研发团队及项目管理总监。后续短暂就职于一家新加坡第三方服务公司，负责商务BD与PMO工作。去年年底正式加入</w:t>
      </w:r>
      <w:r>
        <w:rPr>
          <w:rFonts w:hint="eastAsia"/>
          <w:sz w:val="28"/>
          <w:szCs w:val="28"/>
        </w:rPr>
        <w:t>中诚华隆</w:t>
      </w:r>
      <w:r>
        <w:rPr>
          <w:sz w:val="28"/>
          <w:szCs w:val="28"/>
        </w:rPr>
        <w:t>，担任上海研发中心副主任，主要负责带领研发团队开展GPU芯片项目研发工作。</w:t>
      </w:r>
    </w:p>
    <w:p>
      <w:pPr>
        <w:widowControl/>
        <w:adjustRightInd w:val="0"/>
        <w:snapToGrid w:val="0"/>
        <w:spacing w:line="240" w:lineRule="auto"/>
        <w:ind w:firstLineChars="0" w:firstLine="0"/>
        <w:jc w:val="left"/>
        <w:rPr>
          <w:sz w:val="28"/>
          <w:szCs w:val="28"/>
        </w:rPr>
      </w:pPr>
      <w:r>
        <w:rPr>
          <w:b/>
          <w:bCs/>
          <w:sz w:val="28"/>
          <w:szCs w:val="28"/>
        </w:rPr>
        <w:t>Q：在贝尔实验室旗下公司、TI任职期间，主要从事哪种类型的芯片研发工作</w:t>
      </w:r>
    </w:p>
    <w:p>
      <w:pPr>
        <w:widowControl/>
        <w:adjustRightInd w:val="0"/>
        <w:snapToGrid w:val="0"/>
        <w:spacing w:line="240" w:lineRule="auto"/>
        <w:ind w:firstLineChars="0" w:firstLine="0"/>
        <w:jc w:val="left"/>
        <w:rPr>
          <w:sz w:val="28"/>
          <w:szCs w:val="28"/>
        </w:rPr>
      </w:pPr>
      <w:r>
        <w:rPr>
          <w:b/>
          <w:bCs/>
          <w:sz w:val="28"/>
          <w:szCs w:val="28"/>
        </w:rPr>
        <w:t>A：</w:t>
      </w:r>
      <w:r>
        <w:rPr>
          <w:rFonts w:hint="eastAsia"/>
          <w:sz w:val="28"/>
          <w:szCs w:val="28"/>
        </w:rPr>
        <w:t>1.</w:t>
      </w:r>
      <w:r>
        <w:rPr>
          <w:sz w:val="28"/>
          <w:szCs w:val="28"/>
        </w:rPr>
        <w:t>过往任职企业的研发核心均围绕各类处理器芯片，但产品类型各有不同。在贝尔实验室体系期间，主要研发自研架构ASIC网络处理器，也就是如今的网关、DPU、智能网卡类芯片，属于早期网络处理器产品。</w:t>
      </w:r>
    </w:p>
    <w:p>
      <w:pPr>
        <w:widowControl/>
        <w:adjustRightInd w:val="0"/>
        <w:snapToGrid w:val="0"/>
        <w:spacing w:line="240" w:lineRule="auto"/>
        <w:ind w:firstLineChars="0" w:firstLine="0"/>
        <w:jc w:val="left"/>
        <w:rPr>
          <w:sz w:val="28"/>
          <w:szCs w:val="28"/>
        </w:rPr>
      </w:pPr>
      <w:r>
        <w:rPr>
          <w:rFonts w:hint="eastAsia"/>
          <w:sz w:val="28"/>
          <w:szCs w:val="28"/>
        </w:rPr>
        <w:t>2.</w:t>
      </w:r>
      <w:r>
        <w:rPr>
          <w:sz w:val="28"/>
          <w:szCs w:val="28"/>
        </w:rPr>
        <w:t>在TI任职期间，负责两条处理器产品线研发，一是TI自研的16位、32位MCU芯片，主要应用于端侧、车载及工业控制领域；二是基于ARM架构的CPU芯片，聚焦嵌入式领域应用。</w:t>
      </w:r>
    </w:p>
    <w:p>
      <w:pPr>
        <w:widowControl/>
        <w:adjustRightInd w:val="0"/>
        <w:snapToGrid w:val="0"/>
        <w:spacing w:line="240" w:lineRule="auto"/>
        <w:ind w:firstLineChars="0" w:firstLine="0"/>
        <w:jc w:val="left"/>
        <w:rPr>
          <w:sz w:val="28"/>
          <w:szCs w:val="28"/>
        </w:rPr>
      </w:pPr>
      <w:r>
        <w:rPr>
          <w:rFonts w:hint="eastAsia"/>
          <w:sz w:val="28"/>
          <w:szCs w:val="28"/>
        </w:rPr>
        <w:t>3.</w:t>
      </w:r>
      <w:r>
        <w:rPr>
          <w:sz w:val="28"/>
          <w:szCs w:val="28"/>
        </w:rPr>
        <w:t>在ARM任职时，全面接触ARM的A核、R核、M核三大核心架构，负责CPU架构研发工作，同时参与神经网络NPU处理器的开发。在新加坡设计服务公司任职期间，接触GPU、CPU等各类芯片项目研发。</w:t>
      </w:r>
    </w:p>
    <w:p>
      <w:pPr>
        <w:widowControl/>
        <w:adjustRightInd w:val="0"/>
        <w:snapToGrid w:val="0"/>
        <w:spacing w:line="240" w:lineRule="auto"/>
        <w:ind w:firstLineChars="0" w:firstLine="0"/>
        <w:jc w:val="left"/>
        <w:rPr>
          <w:sz w:val="28"/>
          <w:szCs w:val="28"/>
        </w:rPr>
      </w:pPr>
      <w:r>
        <w:rPr>
          <w:rFonts w:hint="eastAsia"/>
          <w:sz w:val="28"/>
          <w:szCs w:val="28"/>
        </w:rPr>
        <w:t>4.</w:t>
      </w:r>
      <w:r>
        <w:rPr>
          <w:sz w:val="28"/>
          <w:szCs w:val="28"/>
        </w:rPr>
        <w:t>基于多年行业积累，目前在中诚华隆主要深耕GPU、CPU芯片研发，从业经历覆盖公版ARM架构处理器及企业自研架构处理器两大类型。</w:t>
      </w:r>
    </w:p>
    <w:p>
      <w:pPr>
        <w:widowControl/>
        <w:adjustRightInd w:val="0"/>
        <w:snapToGrid w:val="0"/>
        <w:spacing w:line="240" w:lineRule="auto"/>
        <w:ind w:firstLineChars="0" w:firstLine="0"/>
        <w:jc w:val="left"/>
        <w:rPr>
          <w:sz w:val="28"/>
          <w:szCs w:val="28"/>
        </w:rPr>
      </w:pPr>
      <w:r>
        <w:rPr>
          <w:b/>
          <w:bCs/>
          <w:sz w:val="28"/>
          <w:szCs w:val="28"/>
        </w:rPr>
        <w:t>Q：加入中诚华隆的渠道是社招还是通过熟人介绍</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我并非通过纯社招入职。我与公司王总相识超三年，此前通过行业朋友圈、项目合作建立了良好的合作关系，早在一年多前公司一款芯片项目中，我就以外协身份参与相关工作。我于去年年底正式从上一家公司离职，全职加入中诚华隆，属于长期合作后正式入职的模式。</w:t>
      </w:r>
    </w:p>
    <w:p>
      <w:pPr>
        <w:widowControl/>
        <w:adjustRightInd w:val="0"/>
        <w:snapToGrid w:val="0"/>
        <w:spacing w:line="240" w:lineRule="auto"/>
        <w:ind w:firstLineChars="0" w:firstLine="0"/>
        <w:jc w:val="left"/>
        <w:rPr>
          <w:sz w:val="28"/>
          <w:szCs w:val="28"/>
        </w:rPr>
      </w:pPr>
      <w:r>
        <w:rPr>
          <w:b/>
          <w:bCs/>
          <w:sz w:val="28"/>
          <w:szCs w:val="28"/>
        </w:rPr>
        <w:t>Q：目前是否担任上海研发中心主任，研发中心主任是否由王总兼任</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我目前任职上海研发中心副主任，并非研发中心主任，且研发中心为独立研发机构，并非实验室。研发中心主任暂由王总亲自担任。</w:t>
      </w:r>
    </w:p>
    <w:p>
      <w:pPr>
        <w:widowControl/>
        <w:adjustRightInd w:val="0"/>
        <w:snapToGrid w:val="0"/>
        <w:spacing w:line="240" w:lineRule="auto"/>
        <w:ind w:firstLineChars="0" w:firstLine="0"/>
        <w:jc w:val="left"/>
        <w:rPr>
          <w:sz w:val="28"/>
          <w:szCs w:val="28"/>
        </w:rPr>
      </w:pPr>
      <w:r>
        <w:rPr>
          <w:b/>
          <w:bCs/>
          <w:sz w:val="28"/>
          <w:szCs w:val="28"/>
        </w:rPr>
        <w:t>Q：请介绍所在部门的整体架构及人员分布情况</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上海研发中心团队共计130余人，整体按照芯片研发核心功能模块划分五大功能团队，人员配置贴合各环节研发工作量需求。一是系统架构团队，共7人，核心负责芯片整体定义、产品技术路线及长期规划版图制定，团队人员均具备丰富行业经验。二是前端设计团队，共29人，主要负责芯片RTL代码编写等前端核心设计工作，是芯片研发的核心人力团队。三是后端研发团队，共32人，承接前端设计成果，负责芯片网表、版图落地等后端工艺实现工作。四是验证测试团队，共37人，承担芯片功能验证、流片后的整体测试工作，保障芯片研发质量。五是软件开发团队，共26人，负责配套芯片硬件的全套软件栈开发工作，支撑芯片整体落地应用。</w:t>
      </w:r>
    </w:p>
    <w:p>
      <w:pPr>
        <w:widowControl/>
        <w:adjustRightInd w:val="0"/>
        <w:snapToGrid w:val="0"/>
        <w:spacing w:line="240" w:lineRule="auto"/>
        <w:ind w:firstLineChars="0" w:firstLine="0"/>
        <w:jc w:val="left"/>
        <w:rPr>
          <w:sz w:val="28"/>
          <w:szCs w:val="28"/>
        </w:rPr>
      </w:pPr>
      <w:r>
        <w:rPr>
          <w:b/>
          <w:bCs/>
          <w:sz w:val="28"/>
          <w:szCs w:val="28"/>
        </w:rPr>
        <w:t>Q：介绍公司目前在研的芯片产品有哪些</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公司目前核心在研产品线共三条，同时布局下一代芯片研发规划。</w:t>
      </w:r>
    </w:p>
    <w:p>
      <w:pPr>
        <w:widowControl/>
        <w:adjustRightInd w:val="0"/>
        <w:snapToGrid w:val="0"/>
        <w:spacing w:line="240" w:lineRule="auto"/>
        <w:ind w:firstLineChars="0" w:firstLine="0"/>
        <w:jc w:val="left"/>
        <w:rPr>
          <w:sz w:val="28"/>
          <w:szCs w:val="28"/>
        </w:rPr>
      </w:pPr>
      <w:r>
        <w:rPr>
          <w:rFonts w:hint="eastAsia"/>
          <w:sz w:val="28"/>
          <w:szCs w:val="28"/>
        </w:rPr>
        <w:t>1.</w:t>
      </w:r>
      <w:r>
        <w:rPr>
          <w:sz w:val="28"/>
          <w:szCs w:val="28"/>
        </w:rPr>
        <w:t>第一是</w:t>
      </w:r>
      <w:r>
        <w:rPr>
          <w:rFonts w:hint="eastAsia"/>
          <w:sz w:val="28"/>
          <w:szCs w:val="28"/>
        </w:rPr>
        <w:t>HL</w:t>
      </w:r>
      <w:r>
        <w:rPr>
          <w:sz w:val="28"/>
          <w:szCs w:val="28"/>
        </w:rPr>
        <w:t>200 GPU芯片，基于初代</w:t>
      </w:r>
      <w:r>
        <w:rPr>
          <w:rFonts w:hint="eastAsia"/>
          <w:sz w:val="28"/>
          <w:szCs w:val="28"/>
        </w:rPr>
        <w:t>HL</w:t>
      </w:r>
      <w:r>
        <w:rPr>
          <w:sz w:val="28"/>
          <w:szCs w:val="28"/>
        </w:rPr>
        <w:t>100迭代升级，结合市场客户反馈及行业先进技术趋势定义，主打推理场景，性能指标优于英伟达H200、华为950，对标华为下一代960产品，预计今年年底完成流片、明年正式发布落地。</w:t>
      </w:r>
    </w:p>
    <w:p>
      <w:pPr>
        <w:widowControl/>
        <w:adjustRightInd w:val="0"/>
        <w:snapToGrid w:val="0"/>
        <w:spacing w:line="240" w:lineRule="auto"/>
        <w:ind w:firstLineChars="0" w:firstLine="0"/>
        <w:jc w:val="left"/>
        <w:rPr>
          <w:sz w:val="28"/>
          <w:szCs w:val="28"/>
        </w:rPr>
      </w:pPr>
      <w:r>
        <w:rPr>
          <w:rFonts w:hint="eastAsia"/>
          <w:sz w:val="28"/>
          <w:szCs w:val="28"/>
        </w:rPr>
        <w:t>2.</w:t>
      </w:r>
      <w:r>
        <w:rPr>
          <w:sz w:val="28"/>
          <w:szCs w:val="28"/>
        </w:rPr>
        <w:t>第二是自研架构CPU芯片，依托公司</w:t>
      </w:r>
      <w:r>
        <w:rPr>
          <w:rFonts w:hint="eastAsia"/>
          <w:sz w:val="28"/>
          <w:szCs w:val="28"/>
        </w:rPr>
        <w:t>申威</w:t>
      </w:r>
      <w:r>
        <w:rPr>
          <w:sz w:val="28"/>
          <w:szCs w:val="28"/>
        </w:rPr>
        <w:t>生态积淀，采用</w:t>
      </w:r>
      <w:r>
        <w:rPr>
          <w:rFonts w:hint="eastAsia"/>
          <w:sz w:val="28"/>
          <w:szCs w:val="28"/>
        </w:rPr>
        <w:t>申威</w:t>
      </w:r>
      <w:r>
        <w:rPr>
          <w:sz w:val="28"/>
          <w:szCs w:val="28"/>
        </w:rPr>
        <w:t>架构与RISC</w:t>
      </w:r>
      <w:r>
        <w:rPr>
          <w:rFonts w:hint="eastAsia"/>
          <w:sz w:val="28"/>
          <w:szCs w:val="28"/>
        </w:rPr>
        <w:t>V</w:t>
      </w:r>
      <w:r>
        <w:rPr>
          <w:sz w:val="28"/>
          <w:szCs w:val="28"/>
        </w:rPr>
        <w:t>架构结合的异构混合自研设计，拥有完全自主知识产权，主打服务器领域，目前处于架构定义阶段，因研发优先级略低，预计明年完成发布。</w:t>
      </w:r>
    </w:p>
    <w:p>
      <w:pPr>
        <w:widowControl/>
        <w:adjustRightInd w:val="0"/>
        <w:snapToGrid w:val="0"/>
        <w:spacing w:line="240" w:lineRule="auto"/>
        <w:ind w:firstLineChars="0" w:firstLine="0"/>
        <w:jc w:val="left"/>
        <w:rPr>
          <w:sz w:val="28"/>
          <w:szCs w:val="28"/>
        </w:rPr>
      </w:pPr>
      <w:r>
        <w:rPr>
          <w:rFonts w:hint="eastAsia"/>
          <w:sz w:val="28"/>
          <w:szCs w:val="28"/>
        </w:rPr>
        <w:t>3.</w:t>
      </w:r>
      <w:r>
        <w:rPr>
          <w:sz w:val="28"/>
          <w:szCs w:val="28"/>
        </w:rPr>
        <w:t>第三是量子融合QPU芯片，公司不独立开展量子技术底层研发，而是联合外部量子研究院团队，依托其技术成果研发量超融合芯片，实现量子计算、超算与AI计算的协同赋能，AI可弥补量子计算短板、加速纠错，量子计算可优化低效运算，该项目目前处于早期研发阶段，芯片硬件已研发完成，后续将与GPU完成联调，预计明年正式发布。</w:t>
      </w:r>
    </w:p>
    <w:p>
      <w:pPr>
        <w:widowControl/>
        <w:adjustRightInd w:val="0"/>
        <w:snapToGrid w:val="0"/>
        <w:spacing w:line="240" w:lineRule="auto"/>
        <w:ind w:firstLineChars="0" w:firstLine="0"/>
        <w:jc w:val="left"/>
        <w:rPr>
          <w:sz w:val="28"/>
          <w:szCs w:val="28"/>
        </w:rPr>
      </w:pPr>
      <w:r>
        <w:rPr>
          <w:b/>
          <w:bCs/>
          <w:sz w:val="28"/>
          <w:szCs w:val="28"/>
        </w:rPr>
        <w:t>Q：自研服务器CPU芯片具体预计2027年几月份发布落地</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该款自研服务器CPU芯片预计2027年</w:t>
      </w:r>
      <w:r>
        <w:rPr>
          <w:rFonts w:hint="eastAsia"/>
          <w:sz w:val="28"/>
          <w:szCs w:val="28"/>
        </w:rPr>
        <w:t>6月底流片并</w:t>
      </w:r>
      <w:r>
        <w:rPr>
          <w:sz w:val="28"/>
          <w:szCs w:val="28"/>
        </w:rPr>
        <w:t>正式发布。由于高端复杂芯片研发周期较长，需经历近一年的研发、流片、回片及全流程测试环节，整体研发落地流程复杂，因此目前仅确定</w:t>
      </w:r>
      <w:r>
        <w:rPr>
          <w:rFonts w:hint="eastAsia"/>
          <w:sz w:val="28"/>
          <w:szCs w:val="28"/>
        </w:rPr>
        <w:t>大致时间</w:t>
      </w:r>
      <w:r>
        <w:rPr>
          <w:sz w:val="28"/>
          <w:szCs w:val="28"/>
        </w:rPr>
        <w:t>。</w:t>
      </w:r>
    </w:p>
    <w:p>
      <w:pPr>
        <w:widowControl/>
        <w:adjustRightInd w:val="0"/>
        <w:snapToGrid w:val="0"/>
        <w:spacing w:line="240" w:lineRule="auto"/>
        <w:ind w:firstLineChars="0" w:firstLine="0"/>
        <w:jc w:val="left"/>
        <w:rPr>
          <w:sz w:val="28"/>
          <w:szCs w:val="28"/>
        </w:rPr>
      </w:pPr>
      <w:r>
        <w:rPr>
          <w:b/>
          <w:bCs/>
          <w:sz w:val="28"/>
          <w:szCs w:val="28"/>
        </w:rPr>
        <w:t>Q：请介绍公司SOC芯片的整体开发流程</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公司各类SOC芯片研发流程标准化，全流程分为十大核心环节，层层递进保障芯片落地。</w:t>
      </w:r>
    </w:p>
    <w:p>
      <w:pPr>
        <w:widowControl/>
        <w:adjustRightInd w:val="0"/>
        <w:snapToGrid w:val="0"/>
        <w:spacing w:line="240" w:lineRule="auto"/>
        <w:ind w:firstLineChars="0" w:firstLine="0"/>
        <w:jc w:val="left"/>
        <w:rPr>
          <w:sz w:val="28"/>
          <w:szCs w:val="28"/>
        </w:rPr>
      </w:pPr>
      <w:r>
        <w:rPr>
          <w:rFonts w:hint="eastAsia"/>
          <w:sz w:val="28"/>
          <w:szCs w:val="28"/>
        </w:rPr>
        <w:t>1.</w:t>
      </w:r>
      <w:r>
        <w:rPr>
          <w:sz w:val="28"/>
          <w:szCs w:val="28"/>
        </w:rPr>
        <w:t>第一步为需求收集，整合客户真实需求、行业发展趋势、同行技术动态及自身技术积累，梳理形成清晰的芯片研发需求。</w:t>
      </w:r>
    </w:p>
    <w:p>
      <w:pPr>
        <w:widowControl/>
        <w:adjustRightInd w:val="0"/>
        <w:snapToGrid w:val="0"/>
        <w:spacing w:line="240" w:lineRule="auto"/>
        <w:ind w:firstLineChars="0" w:firstLine="0"/>
        <w:jc w:val="left"/>
        <w:rPr>
          <w:sz w:val="28"/>
          <w:szCs w:val="28"/>
        </w:rPr>
      </w:pPr>
      <w:r>
        <w:rPr>
          <w:rFonts w:hint="eastAsia"/>
          <w:sz w:val="28"/>
          <w:szCs w:val="28"/>
        </w:rPr>
        <w:t>2.</w:t>
      </w:r>
      <w:r>
        <w:rPr>
          <w:sz w:val="28"/>
          <w:szCs w:val="28"/>
        </w:rPr>
        <w:t>第二步为架构分析与规格定义，基于研发需求开展技术建模、性能评估，确定芯片架构与技术路线，输出完整技术规格文档（Spec）；同时筛选适配的成熟IP及供应商，结合自研架构整合IP资源，明确芯片各项功能与性能指标。</w:t>
      </w:r>
    </w:p>
    <w:p>
      <w:pPr>
        <w:widowControl/>
        <w:adjustRightInd w:val="0"/>
        <w:snapToGrid w:val="0"/>
        <w:spacing w:line="240" w:lineRule="auto"/>
        <w:ind w:firstLineChars="0" w:firstLine="0"/>
        <w:jc w:val="left"/>
        <w:rPr>
          <w:sz w:val="28"/>
          <w:szCs w:val="28"/>
        </w:rPr>
      </w:pPr>
      <w:r>
        <w:rPr>
          <w:rFonts w:hint="eastAsia"/>
          <w:sz w:val="28"/>
          <w:szCs w:val="28"/>
        </w:rPr>
        <w:t>3.</w:t>
      </w:r>
      <w:r>
        <w:rPr>
          <w:sz w:val="28"/>
          <w:szCs w:val="28"/>
        </w:rPr>
        <w:t>第三步为前端开发与同步软件开发，前端团队依据规格文档编写RTL代码，软件团队同步启动配套软件研发。</w:t>
      </w:r>
    </w:p>
    <w:p>
      <w:pPr>
        <w:widowControl/>
        <w:adjustRightInd w:val="0"/>
        <w:snapToGrid w:val="0"/>
        <w:spacing w:line="240" w:lineRule="auto"/>
        <w:ind w:firstLineChars="0" w:firstLine="0"/>
        <w:jc w:val="left"/>
        <w:rPr>
          <w:sz w:val="28"/>
          <w:szCs w:val="28"/>
        </w:rPr>
      </w:pPr>
      <w:r>
        <w:rPr>
          <w:rFonts w:hint="eastAsia"/>
          <w:sz w:val="28"/>
          <w:szCs w:val="28"/>
        </w:rPr>
        <w:t>4.</w:t>
      </w:r>
      <w:r>
        <w:rPr>
          <w:sz w:val="28"/>
          <w:szCs w:val="28"/>
        </w:rPr>
        <w:t>第四步为芯片验证优化，验证团队针对前端设计成果开展功能、性能、特性全方位验证；针对高速接口仿真效率低的问题，搭配FPGA原型、硬件加速仿真等手段完成专项验证。</w:t>
      </w:r>
    </w:p>
    <w:p>
      <w:pPr>
        <w:widowControl/>
        <w:adjustRightInd w:val="0"/>
        <w:snapToGrid w:val="0"/>
        <w:spacing w:line="240" w:lineRule="auto"/>
        <w:ind w:firstLineChars="0" w:firstLine="0"/>
        <w:jc w:val="left"/>
        <w:rPr>
          <w:sz w:val="28"/>
          <w:szCs w:val="28"/>
        </w:rPr>
      </w:pPr>
      <w:r>
        <w:rPr>
          <w:rFonts w:hint="eastAsia"/>
          <w:sz w:val="28"/>
          <w:szCs w:val="28"/>
        </w:rPr>
        <w:t>5.</w:t>
      </w:r>
      <w:r>
        <w:rPr>
          <w:sz w:val="28"/>
          <w:szCs w:val="28"/>
        </w:rPr>
        <w:t>第五步为代码综合处理，前端团队将验证通过的RTL代码转换为后端可使用的网表文件，作为后端研发输入。</w:t>
      </w:r>
    </w:p>
    <w:p>
      <w:pPr>
        <w:widowControl/>
        <w:adjustRightInd w:val="0"/>
        <w:snapToGrid w:val="0"/>
        <w:spacing w:line="240" w:lineRule="auto"/>
        <w:ind w:firstLineChars="0" w:firstLine="0"/>
        <w:jc w:val="left"/>
        <w:rPr>
          <w:sz w:val="28"/>
          <w:szCs w:val="28"/>
        </w:rPr>
      </w:pPr>
      <w:r>
        <w:rPr>
          <w:rFonts w:hint="eastAsia"/>
          <w:sz w:val="28"/>
          <w:szCs w:val="28"/>
        </w:rPr>
        <w:t>6.</w:t>
      </w:r>
      <w:r>
        <w:rPr>
          <w:sz w:val="28"/>
          <w:szCs w:val="28"/>
        </w:rPr>
        <w:t>第六步为后端落地研发，后端团队将网表文件转化为芯片版图GDS文件，完成工艺参数提取、时序分析、DRC工艺规则检查、电气规则检测、布局布线等工作，同时完成逻辑比对、延时仿真，插入流片测试扫描链，确保符合代工厂工艺要求。</w:t>
      </w:r>
    </w:p>
    <w:p>
      <w:pPr>
        <w:widowControl/>
        <w:adjustRightInd w:val="0"/>
        <w:snapToGrid w:val="0"/>
        <w:spacing w:line="240" w:lineRule="auto"/>
        <w:ind w:firstLineChars="0" w:firstLine="0"/>
        <w:jc w:val="left"/>
        <w:rPr>
          <w:sz w:val="28"/>
          <w:szCs w:val="28"/>
        </w:rPr>
      </w:pPr>
      <w:r>
        <w:rPr>
          <w:rFonts w:hint="eastAsia"/>
          <w:sz w:val="28"/>
          <w:szCs w:val="28"/>
        </w:rPr>
        <w:t>7.</w:t>
      </w:r>
      <w:r>
        <w:rPr>
          <w:sz w:val="28"/>
          <w:szCs w:val="28"/>
        </w:rPr>
        <w:t>第七步为交付流片，将最终合规的GDS文件交付代工厂，由代工厂开展3-4个月的流片生产，完成芯片刻制、封装及前期晶圆测试、功能测试。</w:t>
      </w:r>
    </w:p>
    <w:p>
      <w:pPr>
        <w:widowControl/>
        <w:adjustRightInd w:val="0"/>
        <w:snapToGrid w:val="0"/>
        <w:spacing w:line="240" w:lineRule="auto"/>
        <w:ind w:firstLineChars="0" w:firstLine="0"/>
        <w:jc w:val="left"/>
        <w:rPr>
          <w:sz w:val="28"/>
          <w:szCs w:val="28"/>
        </w:rPr>
      </w:pPr>
      <w:r>
        <w:rPr>
          <w:rFonts w:hint="eastAsia"/>
          <w:sz w:val="28"/>
          <w:szCs w:val="28"/>
        </w:rPr>
        <w:t>8.</w:t>
      </w:r>
      <w:r>
        <w:rPr>
          <w:sz w:val="28"/>
          <w:szCs w:val="28"/>
        </w:rPr>
        <w:t>第八步为自研配套准备，流片期间公司同步完成配套软件、评估PCB板的开发调试工作。</w:t>
      </w:r>
    </w:p>
    <w:p>
      <w:pPr>
        <w:widowControl/>
        <w:adjustRightInd w:val="0"/>
        <w:snapToGrid w:val="0"/>
        <w:spacing w:line="240" w:lineRule="auto"/>
        <w:ind w:firstLineChars="0" w:firstLine="0"/>
        <w:jc w:val="left"/>
        <w:rPr>
          <w:sz w:val="28"/>
          <w:szCs w:val="28"/>
        </w:rPr>
      </w:pPr>
      <w:r>
        <w:rPr>
          <w:rFonts w:hint="eastAsia"/>
          <w:sz w:val="28"/>
          <w:szCs w:val="28"/>
        </w:rPr>
        <w:t>9.</w:t>
      </w:r>
      <w:r>
        <w:rPr>
          <w:sz w:val="28"/>
          <w:szCs w:val="28"/>
        </w:rPr>
        <w:t>第九步为回片测试，代工厂交付封装完成的芯片后，团队开展芯片点亮测试、全功能测试及系统级测试，验证芯片整体性能与稳定性。</w:t>
      </w:r>
    </w:p>
    <w:p>
      <w:pPr>
        <w:widowControl/>
        <w:adjustRightInd w:val="0"/>
        <w:snapToGrid w:val="0"/>
        <w:spacing w:line="240" w:lineRule="auto"/>
        <w:ind w:firstLineChars="0" w:firstLine="0"/>
        <w:jc w:val="left"/>
        <w:rPr>
          <w:sz w:val="28"/>
          <w:szCs w:val="28"/>
        </w:rPr>
      </w:pPr>
      <w:r>
        <w:rPr>
          <w:rFonts w:hint="eastAsia"/>
          <w:sz w:val="28"/>
          <w:szCs w:val="28"/>
        </w:rPr>
        <w:t>10.</w:t>
      </w:r>
      <w:r>
        <w:rPr>
          <w:sz w:val="28"/>
          <w:szCs w:val="28"/>
        </w:rPr>
        <w:t>第十步为市场发布，所有测试达标、性能满足设计要求后，芯片正式具备上市条件，召开发布会完成产品落地发布。</w:t>
      </w:r>
    </w:p>
    <w:p>
      <w:pPr>
        <w:widowControl/>
        <w:adjustRightInd w:val="0"/>
        <w:snapToGrid w:val="0"/>
        <w:spacing w:line="240" w:lineRule="auto"/>
        <w:ind w:firstLineChars="0" w:firstLine="0"/>
        <w:jc w:val="left"/>
        <w:rPr>
          <w:sz w:val="28"/>
          <w:szCs w:val="28"/>
        </w:rPr>
      </w:pPr>
      <w:r>
        <w:rPr>
          <w:b/>
          <w:bCs/>
          <w:sz w:val="28"/>
          <w:szCs w:val="28"/>
        </w:rPr>
        <w:t>Q：</w:t>
      </w:r>
      <w:r>
        <w:rPr>
          <w:rFonts w:hint="eastAsia"/>
          <w:b/>
          <w:bCs/>
          <w:sz w:val="28"/>
          <w:szCs w:val="28"/>
        </w:rPr>
        <w:t>HL</w:t>
      </w:r>
      <w:r>
        <w:rPr>
          <w:b/>
          <w:bCs/>
          <w:sz w:val="28"/>
          <w:szCs w:val="28"/>
        </w:rPr>
        <w:t>200 GPU预计何时正式落地、达到上市标准</w:t>
      </w:r>
    </w:p>
    <w:p>
      <w:pPr>
        <w:widowControl/>
        <w:adjustRightInd w:val="0"/>
        <w:snapToGrid w:val="0"/>
        <w:spacing w:line="240" w:lineRule="auto"/>
        <w:ind w:firstLineChars="0" w:firstLine="0"/>
        <w:jc w:val="left"/>
        <w:rPr>
          <w:sz w:val="28"/>
          <w:szCs w:val="28"/>
        </w:rPr>
      </w:pPr>
      <w:r>
        <w:rPr>
          <w:b/>
          <w:bCs/>
          <w:sz w:val="28"/>
          <w:szCs w:val="28"/>
        </w:rPr>
        <w:t>A：</w:t>
      </w:r>
      <w:r>
        <w:rPr>
          <w:rFonts w:hint="eastAsia"/>
          <w:sz w:val="28"/>
          <w:szCs w:val="28"/>
        </w:rPr>
        <w:t>HL</w:t>
      </w:r>
      <w:r>
        <w:rPr>
          <w:sz w:val="28"/>
          <w:szCs w:val="28"/>
        </w:rPr>
        <w:t>200的落地时间分两种情况，整体时间可控。若第一版流片一次性成功，无技术问题，预计</w:t>
      </w:r>
      <w:r>
        <w:rPr>
          <w:rFonts w:hint="eastAsia"/>
          <w:sz w:val="28"/>
          <w:szCs w:val="28"/>
        </w:rPr>
        <w:t>2026年10月流片，年底回片，</w:t>
      </w:r>
      <w:r>
        <w:rPr>
          <w:sz w:val="28"/>
          <w:szCs w:val="28"/>
        </w:rPr>
        <w:t>明年上半年即可</w:t>
      </w:r>
      <w:r>
        <w:rPr>
          <w:rFonts w:hint="eastAsia"/>
          <w:sz w:val="28"/>
          <w:szCs w:val="28"/>
        </w:rPr>
        <w:t>批量</w:t>
      </w:r>
      <w:r>
        <w:rPr>
          <w:sz w:val="28"/>
          <w:szCs w:val="28"/>
        </w:rPr>
        <w:t>上市</w:t>
      </w:r>
      <w:r>
        <w:rPr>
          <w:rFonts w:hint="eastAsia"/>
          <w:sz w:val="28"/>
          <w:szCs w:val="28"/>
        </w:rPr>
        <w:t>销售</w:t>
      </w:r>
      <w:r>
        <w:rPr>
          <w:sz w:val="28"/>
          <w:szCs w:val="28"/>
        </w:rPr>
        <w:t>。若第一版流片出现常规问题，需要开展ECO修复、二次流片优化，最晚将于明年</w:t>
      </w:r>
      <w:r>
        <w:rPr>
          <w:rFonts w:hint="eastAsia"/>
          <w:sz w:val="28"/>
          <w:szCs w:val="28"/>
        </w:rPr>
        <w:t>6</w:t>
      </w:r>
      <w:r>
        <w:rPr>
          <w:sz w:val="28"/>
          <w:szCs w:val="28"/>
        </w:rPr>
        <w:t>月完成落地上市，该时间为稳妥可落地的节点。</w:t>
      </w:r>
    </w:p>
    <w:p>
      <w:pPr>
        <w:widowControl/>
        <w:adjustRightInd w:val="0"/>
        <w:snapToGrid w:val="0"/>
        <w:spacing w:line="240" w:lineRule="auto"/>
        <w:ind w:firstLineChars="0" w:firstLine="0"/>
        <w:jc w:val="left"/>
        <w:rPr>
          <w:sz w:val="28"/>
          <w:szCs w:val="28"/>
        </w:rPr>
      </w:pPr>
      <w:r>
        <w:rPr>
          <w:b/>
          <w:bCs/>
          <w:sz w:val="28"/>
          <w:szCs w:val="28"/>
        </w:rPr>
        <w:t>Q：自研GPU采用的核心架构是什么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华</w:t>
      </w:r>
      <w:r>
        <w:rPr>
          <w:rFonts w:hint="eastAsia"/>
          <w:sz w:val="28"/>
          <w:szCs w:val="28"/>
        </w:rPr>
        <w:t>隆</w:t>
      </w:r>
      <w:r>
        <w:rPr>
          <w:sz w:val="28"/>
          <w:szCs w:val="28"/>
        </w:rPr>
        <w:t>系列GPU采用自研</w:t>
      </w:r>
      <w:bookmarkStart w:id="23" w:name="_GoBack"/>
      <w:bookmarkEnd w:id="23"/>
      <w:r>
        <w:rPr>
          <w:sz w:val="28"/>
          <w:szCs w:val="28"/>
        </w:rPr>
        <w:t>架构，不走英伟达纯通用GPGPU路线，也不采用谷歌纯专用TPU架构，取两者优势形成折中优化方案。整体架构以GPU通用计算单元为基础，精简、压缩了通用CUDA单元，同时大幅强化自研NPU张量计算单元，针对性适配主流大模型推理场景。既保留了通用算力的适配性，可支撑各类常规算力需求，又聚焦当下主流开源大模型的固定推理场景，提升专用算力利用率，规避了纯通用架构算力冗余、功耗偏高，以及纯专用架构适配性差的短板。</w:t>
      </w:r>
    </w:p>
    <w:p>
      <w:pPr>
        <w:widowControl/>
        <w:adjustRightInd w:val="0"/>
        <w:snapToGrid w:val="0"/>
        <w:spacing w:line="240" w:lineRule="auto"/>
        <w:ind w:firstLineChars="0" w:firstLine="0"/>
        <w:jc w:val="left"/>
        <w:rPr>
          <w:sz w:val="28"/>
          <w:szCs w:val="28"/>
        </w:rPr>
      </w:pPr>
      <w:r>
        <w:rPr>
          <w:b/>
          <w:bCs/>
          <w:sz w:val="28"/>
          <w:szCs w:val="28"/>
        </w:rPr>
        <w:t>Q：公司GPU架构是否为完全自研，与英伟达Hopper、华为达芬奇架构的对应关系是什么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GPU核心优化架构为完全自研，与英伟达Hopper、华为达芬奇架构无直接对应复刻关系。整体框架贴合英伟达GPU的通用计算架构逻辑，保留通用CUDA单元与张量Tensor单元双模块，但做了针对性优化升级。相较于英伟达架构，我们精简了冗余的通用CUDA单元，适配国内固定的主流大模型场景；同时大幅增强Tensor张量计算单元，重点优化低精度推理算力，适配当下主流推理格式与模型需求。不同于华为达芬奇专用架构、谷歌纯张量计算架构，我们的架构兼顾通用性与专用推理性能，在低精度推理场景具备独特优势。</w:t>
      </w:r>
    </w:p>
    <w:p>
      <w:pPr>
        <w:widowControl/>
        <w:adjustRightInd w:val="0"/>
        <w:snapToGrid w:val="0"/>
        <w:spacing w:line="240" w:lineRule="auto"/>
        <w:ind w:firstLineChars="0" w:firstLine="0"/>
        <w:jc w:val="left"/>
        <w:rPr>
          <w:sz w:val="28"/>
          <w:szCs w:val="28"/>
        </w:rPr>
      </w:pPr>
      <w:r>
        <w:rPr>
          <w:b/>
          <w:bCs/>
          <w:sz w:val="28"/>
          <w:szCs w:val="28"/>
        </w:rPr>
        <w:t>Q：请详细介绍</w:t>
      </w:r>
      <w:r>
        <w:rPr>
          <w:rFonts w:hint="eastAsia"/>
          <w:b/>
          <w:bCs/>
          <w:sz w:val="28"/>
          <w:szCs w:val="28"/>
        </w:rPr>
        <w:t>HL</w:t>
      </w:r>
      <w:r>
        <w:rPr>
          <w:b/>
          <w:bCs/>
          <w:sz w:val="28"/>
          <w:szCs w:val="28"/>
        </w:rPr>
        <w:t>100产品的优劣势</w:t>
      </w:r>
    </w:p>
    <w:p>
      <w:pPr>
        <w:widowControl/>
        <w:adjustRightInd w:val="0"/>
        <w:snapToGrid w:val="0"/>
        <w:spacing w:line="240" w:lineRule="auto"/>
        <w:ind w:firstLineChars="0" w:firstLine="0"/>
        <w:jc w:val="left"/>
        <w:rPr>
          <w:sz w:val="28"/>
          <w:szCs w:val="28"/>
        </w:rPr>
      </w:pPr>
      <w:r>
        <w:rPr>
          <w:b/>
          <w:bCs/>
          <w:sz w:val="28"/>
          <w:szCs w:val="28"/>
        </w:rPr>
        <w:t>A：</w:t>
      </w:r>
      <w:r>
        <w:rPr>
          <w:rFonts w:hint="eastAsia"/>
          <w:sz w:val="28"/>
          <w:szCs w:val="28"/>
        </w:rPr>
        <w:t>HL</w:t>
      </w:r>
      <w:r>
        <w:rPr>
          <w:sz w:val="28"/>
          <w:szCs w:val="28"/>
        </w:rPr>
        <w:t>100的核心优势为低功耗、低成本，实测单卡功耗低于理论70多瓦的标准，功耗控制表现优异，直接降低了产品使用成本与部署成本；同时搭载128G大容量存储，可直接容纳各类小型模型，适配常规对话式Chatbot场景，能够满足基础模型的满血运行需求。</w:t>
      </w:r>
    </w:p>
    <w:p>
      <w:pPr>
        <w:widowControl/>
        <w:adjustRightInd w:val="0"/>
        <w:snapToGrid w:val="0"/>
        <w:spacing w:line="240" w:lineRule="auto"/>
        <w:ind w:firstLineChars="0" w:firstLine="0"/>
        <w:jc w:val="left"/>
        <w:rPr>
          <w:sz w:val="28"/>
          <w:szCs w:val="28"/>
        </w:rPr>
      </w:pPr>
      <w:r>
        <w:rPr>
          <w:sz w:val="28"/>
          <w:szCs w:val="28"/>
        </w:rPr>
        <w:t>其短板主要是存储带宽偏低，采用传统LPDDR5存储方案，带宽仅两百多GB，无法适配长上下文、多专家M</w:t>
      </w:r>
      <w:r>
        <w:rPr>
          <w:rFonts w:hint="eastAsia"/>
          <w:sz w:val="28"/>
          <w:szCs w:val="28"/>
        </w:rPr>
        <w:t>o</w:t>
      </w:r>
      <w:r>
        <w:rPr>
          <w:sz w:val="28"/>
          <w:szCs w:val="28"/>
        </w:rPr>
        <w:t>E大模型的运行需求，场景适配局限性较大。</w:t>
      </w:r>
    </w:p>
    <w:p>
      <w:pPr>
        <w:widowControl/>
        <w:adjustRightInd w:val="0"/>
        <w:snapToGrid w:val="0"/>
        <w:spacing w:line="240" w:lineRule="auto"/>
        <w:ind w:firstLineChars="0" w:firstLine="0"/>
        <w:jc w:val="left"/>
        <w:rPr>
          <w:b/>
          <w:bCs/>
          <w:sz w:val="28"/>
          <w:szCs w:val="28"/>
        </w:rPr>
      </w:pPr>
      <w:r>
        <w:rPr>
          <w:rFonts w:hint="eastAsia"/>
          <w:b/>
          <w:bCs/>
          <w:sz w:val="28"/>
          <w:szCs w:val="28"/>
        </w:rPr>
        <w:t>Q：请介绍HL200产品优劣势</w:t>
      </w:r>
    </w:p>
    <w:p>
      <w:pPr>
        <w:widowControl/>
        <w:adjustRightInd w:val="0"/>
        <w:snapToGrid w:val="0"/>
        <w:spacing w:line="240" w:lineRule="auto"/>
        <w:ind w:firstLineChars="0" w:firstLine="0"/>
        <w:jc w:val="left"/>
        <w:rPr>
          <w:sz w:val="28"/>
          <w:szCs w:val="28"/>
        </w:rPr>
      </w:pPr>
      <w:r>
        <w:rPr>
          <w:rFonts w:hint="eastAsia"/>
          <w:sz w:val="28"/>
          <w:szCs w:val="28"/>
        </w:rPr>
        <w:t>A：HL</w:t>
      </w:r>
      <w:r>
        <w:rPr>
          <w:sz w:val="28"/>
          <w:szCs w:val="28"/>
        </w:rPr>
        <w:t>200针对</w:t>
      </w:r>
      <w:r>
        <w:rPr>
          <w:rFonts w:hint="eastAsia"/>
          <w:sz w:val="28"/>
          <w:szCs w:val="28"/>
        </w:rPr>
        <w:t>HL</w:t>
      </w:r>
      <w:r>
        <w:rPr>
          <w:sz w:val="28"/>
          <w:szCs w:val="28"/>
        </w:rPr>
        <w:t>100的核心短板完成全方位升级，优势十分突出。一是大幅提升存储带宽，采用高带宽HBM存储方案，带宽接近5TB，达到英伟达H200同级水平，大幅提升大模型Token生成速度，适配长上下文场景；二是新增FP4低精度格式专项优化，FP4推理算力达到华为同类型产品的两倍以上，精准适配当下主流低精度推理需求；三是强化超节点扩展能力，支持200-400GB的跨机柜scale up带宽，可满足多机柜、多卡动态MOE资源分配，完美适配国内DeepSeek等主流多专家大模型的运行需求；四是升级存储容量，搭载140G以上存储空间，可支撑更大规格模型与满血版大模型多卡运行。整体来看，</w:t>
      </w:r>
      <w:r>
        <w:rPr>
          <w:rFonts w:hint="eastAsia"/>
          <w:sz w:val="28"/>
          <w:szCs w:val="28"/>
        </w:rPr>
        <w:t>HL</w:t>
      </w:r>
      <w:r>
        <w:rPr>
          <w:sz w:val="28"/>
          <w:szCs w:val="28"/>
        </w:rPr>
        <w:t>200对标国内华为950、待发布的960产品，各项指标具备明显竞争力。该产品暂无明显硬性短板，仅极致超高带宽场景下相较于英伟达B200仍有差距，但可全面覆盖国内主流推理市场需求。</w:t>
      </w:r>
    </w:p>
    <w:p>
      <w:pPr>
        <w:widowControl/>
        <w:adjustRightInd w:val="0"/>
        <w:snapToGrid w:val="0"/>
        <w:spacing w:line="240" w:lineRule="auto"/>
        <w:ind w:firstLineChars="0" w:firstLine="0"/>
        <w:jc w:val="left"/>
        <w:rPr>
          <w:sz w:val="28"/>
          <w:szCs w:val="28"/>
        </w:rPr>
      </w:pPr>
      <w:r>
        <w:rPr>
          <w:b/>
          <w:bCs/>
          <w:sz w:val="28"/>
          <w:szCs w:val="28"/>
        </w:rPr>
        <w:t>Q：</w:t>
      </w:r>
      <w:r>
        <w:rPr>
          <w:rFonts w:hint="eastAsia"/>
          <w:b/>
          <w:bCs/>
          <w:sz w:val="28"/>
          <w:szCs w:val="28"/>
        </w:rPr>
        <w:t>HL</w:t>
      </w:r>
      <w:r>
        <w:rPr>
          <w:b/>
          <w:bCs/>
          <w:sz w:val="28"/>
          <w:szCs w:val="28"/>
        </w:rPr>
        <w:t>200是否适用于模型训练场景，产品核心定位是否聚焦推理</w:t>
      </w:r>
    </w:p>
    <w:p>
      <w:pPr>
        <w:widowControl/>
        <w:adjustRightInd w:val="0"/>
        <w:snapToGrid w:val="0"/>
        <w:spacing w:line="240" w:lineRule="auto"/>
        <w:ind w:firstLineChars="0" w:firstLine="0"/>
        <w:jc w:val="left"/>
        <w:rPr>
          <w:sz w:val="28"/>
          <w:szCs w:val="28"/>
        </w:rPr>
      </w:pPr>
      <w:r>
        <w:rPr>
          <w:b/>
          <w:bCs/>
          <w:sz w:val="28"/>
          <w:szCs w:val="28"/>
        </w:rPr>
        <w:t>A：</w:t>
      </w:r>
      <w:r>
        <w:rPr>
          <w:rFonts w:hint="eastAsia"/>
          <w:sz w:val="28"/>
          <w:szCs w:val="28"/>
        </w:rPr>
        <w:t>HL</w:t>
      </w:r>
      <w:r>
        <w:rPr>
          <w:sz w:val="28"/>
          <w:szCs w:val="28"/>
        </w:rPr>
        <w:t>200核心定位为纯推理场景芯片，并非为训练场景设计，不主打模型训练市场。从行业现状来看，国内高端模型训练基本依赖英伟达芯片，华为芯片训练适配仍需大量算法改造，训练市场头部垄断格局稳定，市场增量有限。结合行业趋势，未来3-5年AI市场训练与推理需求比例约3:7，甚至极端情况下达到1:9，推理是市场体量更大、需求更旺盛的赛道，这也是公司聚焦推理芯片研发的核心原因。从产品性能来看，</w:t>
      </w:r>
      <w:r>
        <w:rPr>
          <w:rFonts w:hint="eastAsia"/>
          <w:sz w:val="28"/>
          <w:szCs w:val="28"/>
        </w:rPr>
        <w:t>HL</w:t>
      </w:r>
      <w:r>
        <w:rPr>
          <w:sz w:val="28"/>
          <w:szCs w:val="28"/>
        </w:rPr>
        <w:t>200可勉强支持模型训练，但因高精度算力支持较弱，训练效率极低，无法满足商用训练的需求，仅能适配推理场景的大规模商用部署，客户场景适配上会明确区分训练与推理用途。</w:t>
      </w:r>
    </w:p>
    <w:p>
      <w:pPr>
        <w:widowControl/>
        <w:adjustRightInd w:val="0"/>
        <w:snapToGrid w:val="0"/>
        <w:spacing w:line="240" w:lineRule="auto"/>
        <w:ind w:firstLineChars="0" w:firstLine="0"/>
        <w:jc w:val="left"/>
        <w:rPr>
          <w:sz w:val="28"/>
          <w:szCs w:val="28"/>
        </w:rPr>
      </w:pPr>
      <w:r>
        <w:rPr>
          <w:b/>
          <w:bCs/>
          <w:sz w:val="28"/>
          <w:szCs w:val="28"/>
        </w:rPr>
        <w:t>Q：公司推理芯片主要适配哪些具体应用场景</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从技术能力层面来看，公司推理芯片可适配绝大多数AI推理场景，带宽、存储、算力的全面升级，能够覆盖各类推理需求。从实际落地客户场景来看，客户群体集中在央国企、算力中心、运营商，应用场景相对聚焦。初代HL100可支撑主流Chatbot对话推理场景，仅模型输出响应速度偏慢，可满足非实时对话需求。迭代后的第二代芯片（HL200）可适配各类实时、高要求推理场景，包括车载智能对话的高速响应场景、视频识别、视频安全监控、视频生成、文生图等多模态推理场景，整体使用体验可对标英伟达H200、华为同类产品，且具备价格优势。</w:t>
      </w:r>
    </w:p>
    <w:p>
      <w:pPr>
        <w:widowControl/>
        <w:adjustRightInd w:val="0"/>
        <w:snapToGrid w:val="0"/>
        <w:spacing w:line="240" w:lineRule="auto"/>
        <w:ind w:firstLineChars="0" w:firstLine="0"/>
        <w:jc w:val="left"/>
        <w:rPr>
          <w:sz w:val="28"/>
          <w:szCs w:val="28"/>
        </w:rPr>
      </w:pPr>
      <w:r>
        <w:rPr>
          <w:b/>
          <w:bCs/>
          <w:sz w:val="28"/>
          <w:szCs w:val="28"/>
        </w:rPr>
        <w:t>Q：相较于行业竞品，公司芯片能够实现低成本的核心原因是什么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芯片成本优势主要来源于架构专项优化和硬件配置选型两大核心因素。第一，架构精准适配推理场景，行业内绝大多数竞品为训推一体芯片，并非针对推理场景专属设计，用于推理时存在大量芯片面积、逻辑算力冗余浪费，硬件成本居高不下。而我们的芯片专为推理场景优化，精简冗余架构，在保障同等推理效果的前提下，缩小芯片面积，大幅降低核心硬件成本。第二，存储与功耗成本优势显著，初代产品采用性价比更高的普通LPDDR存储，相较于行业高端HBM存储成本大幅降低，同时该存储方案功耗更低，有效降低客户后续运营功耗成本，实现硬件采购成本与长期使用成本的双重优化。</w:t>
      </w:r>
    </w:p>
    <w:p>
      <w:pPr>
        <w:widowControl/>
        <w:adjustRightInd w:val="0"/>
        <w:snapToGrid w:val="0"/>
        <w:spacing w:line="240" w:lineRule="auto"/>
        <w:ind w:firstLineChars="0" w:firstLine="0"/>
        <w:jc w:val="left"/>
        <w:rPr>
          <w:sz w:val="28"/>
          <w:szCs w:val="28"/>
        </w:rPr>
      </w:pPr>
      <w:r>
        <w:rPr>
          <w:b/>
          <w:bCs/>
          <w:sz w:val="28"/>
          <w:szCs w:val="28"/>
        </w:rPr>
        <w:t>Q：HL100芯片采用的制程工艺是多少纳米</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HL100芯片采用12纳米制程工艺。</w:t>
      </w:r>
    </w:p>
    <w:p>
      <w:pPr>
        <w:widowControl/>
        <w:adjustRightInd w:val="0"/>
        <w:snapToGrid w:val="0"/>
        <w:spacing w:line="240" w:lineRule="auto"/>
        <w:ind w:firstLineChars="0" w:firstLine="0"/>
        <w:jc w:val="left"/>
        <w:rPr>
          <w:sz w:val="28"/>
          <w:szCs w:val="28"/>
        </w:rPr>
      </w:pPr>
      <w:r>
        <w:rPr>
          <w:b/>
          <w:bCs/>
          <w:sz w:val="28"/>
          <w:szCs w:val="28"/>
        </w:rPr>
        <w:t>Q：HL100芯片的代工厂是哪家企业，能否保障稳定代工产能</w:t>
      </w:r>
    </w:p>
    <w:p>
      <w:pPr>
        <w:widowControl/>
        <w:adjustRightInd w:val="0"/>
        <w:snapToGrid w:val="0"/>
        <w:spacing w:line="240" w:lineRule="auto"/>
        <w:ind w:firstLineChars="0" w:firstLine="0"/>
        <w:jc w:val="left"/>
        <w:rPr>
          <w:sz w:val="28"/>
          <w:szCs w:val="28"/>
        </w:rPr>
      </w:pPr>
      <w:r>
        <w:rPr>
          <w:b/>
          <w:bCs/>
          <w:sz w:val="28"/>
          <w:szCs w:val="28"/>
        </w:rPr>
        <w:t>A：</w:t>
      </w:r>
      <w:r>
        <w:rPr>
          <w:rFonts w:hint="eastAsia"/>
          <w:sz w:val="28"/>
          <w:szCs w:val="28"/>
        </w:rPr>
        <w:t>具体厂家涉及行业机密</w:t>
      </w:r>
      <w:r>
        <w:rPr>
          <w:sz w:val="28"/>
          <w:szCs w:val="28"/>
        </w:rPr>
        <w:t>。产能方面无需担忧，供应链及代工产能由沈总专项协调对接，目前订单执行顺畅，产能供应完全稳定，不存在晶圆厂产能紧张、供货不足的问题，可保障产品持续量产落地。</w:t>
      </w:r>
    </w:p>
    <w:p>
      <w:pPr>
        <w:widowControl/>
        <w:adjustRightInd w:val="0"/>
        <w:snapToGrid w:val="0"/>
        <w:spacing w:line="240" w:lineRule="auto"/>
        <w:ind w:firstLineChars="0" w:firstLine="0"/>
        <w:jc w:val="left"/>
        <w:rPr>
          <w:sz w:val="28"/>
          <w:szCs w:val="28"/>
        </w:rPr>
      </w:pPr>
      <w:r>
        <w:rPr>
          <w:b/>
          <w:bCs/>
          <w:sz w:val="28"/>
          <w:szCs w:val="28"/>
        </w:rPr>
        <w:t>Q：H</w:t>
      </w:r>
      <w:r>
        <w:rPr>
          <w:rFonts w:hint="eastAsia"/>
          <w:b/>
          <w:bCs/>
          <w:sz w:val="28"/>
          <w:szCs w:val="28"/>
        </w:rPr>
        <w:t>L</w:t>
      </w:r>
      <w:r>
        <w:rPr>
          <w:b/>
          <w:bCs/>
          <w:sz w:val="28"/>
          <w:szCs w:val="28"/>
        </w:rPr>
        <w:t>100芯片是否可以支撑文生图、文生视频等多模态大模型推理</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H</w:t>
      </w:r>
      <w:r>
        <w:rPr>
          <w:rFonts w:hint="eastAsia"/>
          <w:sz w:val="28"/>
          <w:szCs w:val="28"/>
        </w:rPr>
        <w:t>L</w:t>
      </w:r>
      <w:r>
        <w:rPr>
          <w:sz w:val="28"/>
          <w:szCs w:val="28"/>
        </w:rPr>
        <w:t>100芯片完全可以支撑文生图、文生视频等多模态大模型推理。各类多模态模型底层均基于Transformer架构，核心依托大语言模型完成推理运算，与公司芯片适配的架构体系匹配。仅存在小幅局限性，该芯片在实时性要求极高的多模态场景中会存在一定延迟，但对于文生图、文生视频等无严苛实时要求的场景，适配性和稳定性完全达标，可正常商用落地。</w:t>
      </w:r>
    </w:p>
    <w:p>
      <w:pPr>
        <w:widowControl/>
        <w:adjustRightInd w:val="0"/>
        <w:snapToGrid w:val="0"/>
        <w:spacing w:line="240" w:lineRule="auto"/>
        <w:ind w:firstLineChars="0" w:firstLine="0"/>
        <w:jc w:val="left"/>
        <w:rPr>
          <w:sz w:val="28"/>
          <w:szCs w:val="28"/>
        </w:rPr>
      </w:pPr>
      <w:r>
        <w:rPr>
          <w:b/>
          <w:bCs/>
          <w:sz w:val="28"/>
          <w:szCs w:val="28"/>
        </w:rPr>
        <w:t>Q：公司推理芯片的核心B端客户及市场需求场景是什么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核心B端客户以国家级、省级算力中心及三大运营商为主，并非直接对接互联网大厂。国内AI算力采用国家统一调度模式，国家布局九大核心算力节点，各节点向下辐射省市小型算力集群，这类公共算力中心是芯片的核心采购方。互联网大厂仅自营少量高优先级算力集群，用于保障高端付费客户体验，大量普通、免费、低优先级的算力请求，均会分流至性价比更高的国家级公共算力节点。公共算力中心只需芯片适配国内主流开源大模型、符合上架标准即可批量采购，面向全行业用户提供普惠算力服务，市场需求稳定且体量庞大，同时腾讯等头部企业也有相关采购洽谈合作，进一步拓宽销售渠道。</w:t>
      </w:r>
    </w:p>
    <w:p>
      <w:pPr>
        <w:widowControl/>
        <w:adjustRightInd w:val="0"/>
        <w:snapToGrid w:val="0"/>
        <w:spacing w:line="240" w:lineRule="auto"/>
        <w:ind w:firstLineChars="0" w:firstLine="0"/>
        <w:jc w:val="left"/>
        <w:rPr>
          <w:sz w:val="28"/>
          <w:szCs w:val="28"/>
        </w:rPr>
      </w:pPr>
      <w:r>
        <w:rPr>
          <w:b/>
          <w:bCs/>
          <w:sz w:val="28"/>
          <w:szCs w:val="28"/>
        </w:rPr>
        <w:t>Q：GPU研发是否为完全自研，有无采购外部IP授权</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GPU研发并非百分百全部自研，行业内无企业可实现全模块自研，华为等头部企业也需采购外部IP。公司核心算力架构、NPU张量计算单元等核心核心模块为完全自研，保障产品核心竞争力。对于高速外设、复杂底层接口等研发难度极高、迭代成熟的非核心模块，以及EDA工具，均采用行业成熟供应商产品采购的模式，兼顾研发效率与产品稳定性。</w:t>
      </w:r>
    </w:p>
    <w:p>
      <w:pPr>
        <w:widowControl/>
        <w:adjustRightInd w:val="0"/>
        <w:snapToGrid w:val="0"/>
        <w:spacing w:line="240" w:lineRule="auto"/>
        <w:ind w:firstLineChars="0" w:firstLine="0"/>
        <w:jc w:val="left"/>
        <w:rPr>
          <w:sz w:val="28"/>
          <w:szCs w:val="28"/>
        </w:rPr>
      </w:pPr>
      <w:r>
        <w:rPr>
          <w:b/>
          <w:bCs/>
          <w:sz w:val="28"/>
          <w:szCs w:val="28"/>
        </w:rPr>
        <w:t>Q：目前自研CPU产品的研发进展如何</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公司自研服务器CPU目前正处于架构探索与搭建阶段，尚未进入前端开发和落地迭代环节，整体研发工作稳步推进中。</w:t>
      </w:r>
    </w:p>
    <w:p>
      <w:pPr>
        <w:widowControl/>
        <w:adjustRightInd w:val="0"/>
        <w:snapToGrid w:val="0"/>
        <w:spacing w:line="240" w:lineRule="auto"/>
        <w:ind w:firstLineChars="0" w:firstLine="0"/>
        <w:jc w:val="left"/>
        <w:rPr>
          <w:sz w:val="28"/>
          <w:szCs w:val="28"/>
        </w:rPr>
      </w:pPr>
      <w:r>
        <w:rPr>
          <w:b/>
          <w:bCs/>
          <w:sz w:val="28"/>
          <w:szCs w:val="28"/>
        </w:rPr>
        <w:t>Q：自研CPU产品的核心优势是什么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自研CPU核心优势集中在架构设计、AI算力适配、硬件规格三大维度。一是采用</w:t>
      </w:r>
      <w:r>
        <w:rPr>
          <w:rFonts w:hint="eastAsia"/>
          <w:sz w:val="28"/>
          <w:szCs w:val="28"/>
        </w:rPr>
        <w:t>申威</w:t>
      </w:r>
      <w:r>
        <w:rPr>
          <w:sz w:val="28"/>
          <w:szCs w:val="28"/>
        </w:rPr>
        <w:t>+RISC-V混合异构架构，改善传统</w:t>
      </w:r>
      <w:r>
        <w:rPr>
          <w:rFonts w:hint="eastAsia"/>
          <w:sz w:val="28"/>
          <w:szCs w:val="28"/>
        </w:rPr>
        <w:t>申威</w:t>
      </w:r>
      <w:r>
        <w:rPr>
          <w:sz w:val="28"/>
          <w:szCs w:val="28"/>
        </w:rPr>
        <w:t>内核功耗偏高的问题，依托RISC-V开源架构实现功耗可控、能效提升。二是强化AI算力适配能力，针对AI服务器应用场景优化，通过CPU内部架构加强算力性能，适配当下AI服务器CPU算力占比提升的行业趋势，具备AI生态赋能价值。三是硬件规格强劲，芯片集成128个计算核，跑分性能优异，全球行业排名具备竞争力，同时升级优化存储配置，进一步提升整体运行性能。</w:t>
      </w:r>
    </w:p>
    <w:p>
      <w:pPr>
        <w:widowControl/>
        <w:adjustRightInd w:val="0"/>
        <w:snapToGrid w:val="0"/>
        <w:spacing w:line="240" w:lineRule="auto"/>
        <w:ind w:firstLineChars="0" w:firstLine="0"/>
        <w:jc w:val="left"/>
        <w:rPr>
          <w:sz w:val="28"/>
          <w:szCs w:val="28"/>
        </w:rPr>
      </w:pPr>
      <w:r>
        <w:rPr>
          <w:b/>
          <w:bCs/>
          <w:sz w:val="28"/>
          <w:szCs w:val="28"/>
        </w:rPr>
        <w:t>Q：自研CPU底层架构是否为完全自研</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自研CPU目前处于架构探索阶段，整体底层架构方案为公司自主探索、自主设计，核心架构具备自主知识产权。</w:t>
      </w:r>
    </w:p>
    <w:p>
      <w:pPr>
        <w:widowControl/>
        <w:adjustRightInd w:val="0"/>
        <w:snapToGrid w:val="0"/>
        <w:spacing w:line="240" w:lineRule="auto"/>
        <w:ind w:firstLineChars="0" w:firstLine="0"/>
        <w:jc w:val="left"/>
        <w:rPr>
          <w:sz w:val="28"/>
          <w:szCs w:val="28"/>
        </w:rPr>
      </w:pPr>
      <w:r>
        <w:rPr>
          <w:b/>
          <w:bCs/>
          <w:sz w:val="28"/>
          <w:szCs w:val="28"/>
        </w:rPr>
        <w:t>Q：自研CPU对比国内外厂商产品的核心劣势是什么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相较于国外AMD、英特尔、亚马逊、英伟达等头部厂商产品，核心劣势体现在制程工艺上。国外主流高端CPU采用2-4纳米先进制程，而国内受制程工艺限制，无法达到同等工艺水平。公司目前通过系统级优化、逻辑时序折叠、架构精简等自研技术，在同等受限制程下最大化提升芯片运行效率，缩小性能差距。在国内同制程、同工艺的CPU产品中，公司自研CPU性能可稳居行业前三，具备较强市场竞争力。</w:t>
      </w:r>
    </w:p>
    <w:p>
      <w:pPr>
        <w:widowControl/>
        <w:adjustRightInd w:val="0"/>
        <w:snapToGrid w:val="0"/>
        <w:spacing w:line="240" w:lineRule="auto"/>
        <w:ind w:firstLineChars="0" w:firstLine="0"/>
        <w:jc w:val="left"/>
        <w:rPr>
          <w:sz w:val="28"/>
          <w:szCs w:val="28"/>
        </w:rPr>
      </w:pPr>
      <w:r>
        <w:rPr>
          <w:b/>
          <w:bCs/>
          <w:sz w:val="28"/>
          <w:szCs w:val="28"/>
        </w:rPr>
        <w:t>Q：自研CPU选定的制程工艺是多少纳米</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自研CPU目前选定6纳米或7纳米制程工艺。</w:t>
      </w:r>
    </w:p>
    <w:p>
      <w:pPr>
        <w:widowControl/>
        <w:adjustRightInd w:val="0"/>
        <w:snapToGrid w:val="0"/>
        <w:spacing w:line="240" w:lineRule="auto"/>
        <w:ind w:firstLineChars="0" w:firstLine="0"/>
        <w:jc w:val="left"/>
        <w:rPr>
          <w:sz w:val="28"/>
          <w:szCs w:val="28"/>
        </w:rPr>
      </w:pPr>
      <w:r>
        <w:rPr>
          <w:b/>
          <w:bCs/>
          <w:sz w:val="28"/>
          <w:szCs w:val="28"/>
        </w:rPr>
        <w:t>Q：自研CPU核心数量、预期主频是多少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自研CPU集成128个计算核；主频目标为突破3.0GHz，最终主频数值需根据前后端落地实现及仿真测试结果确定。</w:t>
      </w:r>
    </w:p>
    <w:p>
      <w:pPr>
        <w:widowControl/>
        <w:adjustRightInd w:val="0"/>
        <w:snapToGrid w:val="0"/>
        <w:spacing w:line="240" w:lineRule="auto"/>
        <w:ind w:firstLineChars="0" w:firstLine="0"/>
        <w:jc w:val="left"/>
        <w:rPr>
          <w:sz w:val="28"/>
          <w:szCs w:val="28"/>
        </w:rPr>
      </w:pPr>
      <w:r>
        <w:rPr>
          <w:b/>
          <w:bCs/>
          <w:sz w:val="28"/>
          <w:szCs w:val="28"/>
        </w:rPr>
        <w:t>Q：自研CPU预期功耗参数为多少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目前项目仍处于架构可行性探索阶段，尚未进入模块建模、参数细化阶段，暂无明确、可落地的功耗指标，后续完成架构验证、分模块建模后，将输出精准的功耗参数。</w:t>
      </w:r>
    </w:p>
    <w:p>
      <w:pPr>
        <w:widowControl/>
        <w:adjustRightInd w:val="0"/>
        <w:snapToGrid w:val="0"/>
        <w:spacing w:line="240" w:lineRule="auto"/>
        <w:ind w:firstLineChars="0" w:firstLine="0"/>
        <w:jc w:val="left"/>
        <w:rPr>
          <w:sz w:val="28"/>
          <w:szCs w:val="28"/>
        </w:rPr>
      </w:pPr>
      <w:r>
        <w:rPr>
          <w:b/>
          <w:bCs/>
          <w:sz w:val="28"/>
          <w:szCs w:val="28"/>
        </w:rPr>
        <w:t>Q：自研CPU使用RISC-V指令集、IP授权的合作情况如何</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相关指令集授权、商务合作条款及细节涉及相关合规及保密内容，研发端细节信息有限，可对接沈总及商务团队进一步确认，目前可明确的是，相关授权合规合法，无风险问题。</w:t>
      </w:r>
    </w:p>
    <w:p>
      <w:pPr>
        <w:widowControl/>
        <w:adjustRightInd w:val="0"/>
        <w:snapToGrid w:val="0"/>
        <w:spacing w:line="240" w:lineRule="auto"/>
        <w:ind w:firstLineChars="0" w:firstLine="0"/>
        <w:jc w:val="left"/>
        <w:rPr>
          <w:sz w:val="28"/>
          <w:szCs w:val="28"/>
        </w:rPr>
      </w:pPr>
      <w:r>
        <w:rPr>
          <w:b/>
          <w:bCs/>
          <w:sz w:val="28"/>
          <w:szCs w:val="28"/>
        </w:rPr>
        <w:t>Q：与沈院士团队的合作聚焦CPU还是GPU领域，可信计算技术应用场景是什么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与沈院士团队的合作不聚焦GPU、CPU单品研发，核心围绕系统级可信计算技术展开。双方联合开发独立的可信计算SOC芯片，同时规划将可信计算技术逐步植入公司自研CPU、GPU芯片中，或通过自研芯片搭配可信计算SOC协同工作。可信计算核心应用于安全领域，可构建完全可靠、无风险的底层计算环境，从根源上保障算力运行安全。</w:t>
      </w:r>
    </w:p>
    <w:p>
      <w:pPr>
        <w:widowControl/>
        <w:adjustRightInd w:val="0"/>
        <w:snapToGrid w:val="0"/>
        <w:spacing w:line="240" w:lineRule="auto"/>
        <w:ind w:firstLineChars="0" w:firstLine="0"/>
        <w:jc w:val="left"/>
        <w:rPr>
          <w:sz w:val="28"/>
          <w:szCs w:val="28"/>
        </w:rPr>
      </w:pPr>
      <w:r>
        <w:rPr>
          <w:b/>
          <w:bCs/>
          <w:sz w:val="28"/>
          <w:szCs w:val="28"/>
        </w:rPr>
        <w:t>Q：公司GPU、CPU芯片的整体研发周期是多久</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6-7纳米制程、400-500平方毫米规格的中大型芯片，整体研发周期约12-16个月（首版流片成功）。具体周期拆分如下：架构设计阶段耗时2-6个月；前端RTL开发约6个月，前端开发3个月后，后端工作可同步启动，前后端重叠研发约3个月，后端整体开发周期约6个月；流片生产周期约4个月。验证、软件开发等工作均与核心研发流程并行推进，不占用关键路径时长。若首版流片存在问题，需开展ECO修复二次流片，将额外增加数月研发周期。</w:t>
      </w:r>
    </w:p>
    <w:p>
      <w:pPr>
        <w:widowControl/>
        <w:adjustRightInd w:val="0"/>
        <w:snapToGrid w:val="0"/>
        <w:spacing w:line="240" w:lineRule="auto"/>
        <w:ind w:firstLineChars="0" w:firstLine="0"/>
        <w:jc w:val="left"/>
        <w:rPr>
          <w:sz w:val="28"/>
          <w:szCs w:val="28"/>
        </w:rPr>
      </w:pPr>
      <w:r>
        <w:rPr>
          <w:b/>
          <w:bCs/>
          <w:sz w:val="28"/>
          <w:szCs w:val="28"/>
        </w:rPr>
        <w:t>Q：对标市面同类推理GPU产品，公司芯片的竞争差异与优劣是什么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市面同类推理GPU竞品采用台积电N4先进制程，制程工艺相比我方12纳米制程有30%左右的性能优势，但整体综合性能远不及我方产品。竞品为适配先进制程、规避工艺短板，大幅缩减芯片逻辑规模、放弃HBM高带宽配置，仅采用LPDDR6补救，最终导致其算力、带宽指标比我方产品低20%-40%。综合来看，竞品仅制程工艺存在小幅优势，但核心算力、存储带宽等关键性能指标全面落后于我方产品，整体综合实力弱于华隆系列推理芯片。</w:t>
      </w:r>
    </w:p>
    <w:p>
      <w:pPr>
        <w:widowControl/>
        <w:adjustRightInd w:val="0"/>
        <w:snapToGrid w:val="0"/>
        <w:spacing w:after="160" w:line="278" w:lineRule="auto"/>
        <w:ind w:firstLineChars="0" w:firstLine="0"/>
        <w:jc w:val="left"/>
        <w:rPr>
          <w:sz w:val="28"/>
          <w:szCs w:val="28"/>
        </w:rPr>
      </w:pPr>
      <w:r>
        <w:rPr>
          <w:sz w:val="28"/>
          <w:szCs w:val="28"/>
        </w:rPr>
        <w:br w:type="page"/>
      </w:r>
    </w:p>
    <w:p>
      <w:pPr>
        <w:widowControl/>
        <w:numPr>
          <w:ilvl w:val="0"/>
          <w:numId w:val="1"/>
        </w:numPr>
        <w:overflowPunct w:val="0"/>
        <w:topLinePunct/>
        <w:adjustRightInd w:val="0"/>
        <w:snapToGrid w:val="0"/>
        <w:spacing w:after="160" w:line="240" w:lineRule="auto"/>
        <w:ind w:firstLineChars="0"/>
        <w:jc w:val="left"/>
        <w:outlineLvl w:val="1"/>
        <w:rPr>
          <w:b/>
          <w:bCs/>
          <w:sz w:val="28"/>
          <w:szCs w:val="28"/>
        </w:rPr>
      </w:pPr>
      <w:bookmarkStart w:id="24" w:name="_Toc231375142"/>
      <w:r>
        <w:rPr>
          <w:rFonts w:hint="eastAsia"/>
          <w:b/>
          <w:bCs/>
          <w:sz w:val="28"/>
          <w:szCs w:val="28"/>
        </w:rPr>
        <w:t>销售负责人</w:t>
      </w:r>
      <w:bookmarkEnd w:id="24"/>
    </w:p>
    <w:p>
      <w:pPr>
        <w:widowControl/>
        <w:adjustRightInd w:val="0"/>
        <w:snapToGrid w:val="0"/>
        <w:spacing w:line="240" w:lineRule="auto"/>
        <w:ind w:firstLineChars="0" w:firstLine="0"/>
        <w:jc w:val="left"/>
        <w:rPr>
          <w:b/>
          <w:bCs/>
          <w:sz w:val="28"/>
          <w:szCs w:val="28"/>
        </w:rPr>
      </w:pPr>
      <w:r>
        <w:rPr>
          <w:rFonts w:hint="eastAsia"/>
          <w:b/>
          <w:bCs/>
          <w:sz w:val="28"/>
          <w:szCs w:val="28"/>
        </w:rPr>
        <w:t>访谈时间：2026年5月28日</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关键信息</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公司核心技术源自2016年全球登顶的无锡神威太湖之光超算配套的申威26010完全自主研发芯片，该芯片具备全自研代码体系，覆盖多领域产品矩阵，可适配国民经济各类场景。依托军方、中央军委、国务院国资委、工信部联合推动的军用技术民用产业化政策，经层层选拔确定王嘉诚为项目牵头人，团队结合行业特性争取自主运营模式，获批资源型混合所有制体制，为企业成立奠定核心基础。</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公司正式成立于2017年10月24日，核心定位聚焦国家算力安全保障与信创国产化，两大核心任务为推进申威、RISC-V可控指令集技术民用产业化，以及保障国家算力供给安全、对外输出自研算力技术与产品。公司核心团队实力雄厚，董事长王嘉诚为哈工大本硕博、哈工大与北大联合培养博士，兼具人工智能、金融专业背景，曾任职证监会、神华集团、国资委，主导完成神华A+H股千亿级上市、统筹央企并购重组等重要工作，后受国家指派牵头申威技术产业化项目；核心创始团队还包含IBM、美国克雷资深人员，核心经营管理层拥有建筑央企从业背景与科技成果转化、半导体行业从业经验，全程参与公司筹建与模式落地工作。</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公司深耕技术研发与产品迭代多年，2018-2023年聚焦</w:t>
      </w:r>
      <w:r>
        <w:rPr>
          <w:rFonts w:hint="eastAsia"/>
          <w:b/>
          <w:bCs/>
          <w:sz w:val="28"/>
          <w:szCs w:val="28"/>
          <w:u w:val="single"/>
        </w:rPr>
        <w:t>基于申威CPU的</w:t>
      </w:r>
      <w:r>
        <w:rPr>
          <w:b/>
          <w:bCs/>
          <w:sz w:val="28"/>
          <w:szCs w:val="28"/>
          <w:u w:val="single"/>
        </w:rPr>
        <w:t>整机研发，完成申威军用技术的民用适配改造，同时广泛对接三大运营商、国家电网、国有大行等各类政企客户，摸清市场需求与行业生态，搭建起成熟的整机研发技术体系。目前公司已形成CPU、GPU、QPU三类芯片融合的完整产品体系，涵盖自研芯片、自研整机、算力中心解决方案三大核心业务板块。</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芯片研发方面，2024年11月推出首款HL100推理GPU芯片，采用12纳米制程、3万元单卡定价，显存128G优于行业主流配置，主打低功耗、高性价比，精准适配纯推理商用场景；第二代HL200 GPU芯片采用6纳米海外、12纳米国内双制程布局，分别对应高端算力与通用性价比场景，计划2026年底完成流片落地。</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基于申威与RISC-V异构架构的自研服务器CPU已在202</w:t>
      </w:r>
      <w:r>
        <w:rPr>
          <w:rFonts w:hint="eastAsia"/>
          <w:b/>
          <w:bCs/>
          <w:sz w:val="28"/>
          <w:szCs w:val="28"/>
          <w:u w:val="single"/>
        </w:rPr>
        <w:t>5</w:t>
      </w:r>
      <w:r>
        <w:rPr>
          <w:b/>
          <w:bCs/>
          <w:sz w:val="28"/>
          <w:szCs w:val="28"/>
          <w:u w:val="single"/>
        </w:rPr>
        <w:t>年底立项，目前处于架构设计阶段，预计2027年</w:t>
      </w:r>
      <w:r>
        <w:rPr>
          <w:rFonts w:hint="eastAsia"/>
          <w:b/>
          <w:bCs/>
          <w:sz w:val="28"/>
          <w:szCs w:val="28"/>
          <w:u w:val="single"/>
        </w:rPr>
        <w:t>6月底流片</w:t>
      </w:r>
      <w:r>
        <w:rPr>
          <w:b/>
          <w:bCs/>
          <w:sz w:val="28"/>
          <w:szCs w:val="28"/>
          <w:u w:val="single"/>
        </w:rPr>
        <w:t>、2028年实现规模化创收，可实现底层安全可控，差异化对标龙芯桌面工控产品，聚焦高端服务器商用场景。同时公司提前布局量子QPU芯片，现有156比特实验室芯片，处于商业化转型初期，可实现小额营收。</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技术授权层面，公司2022年与申威达成指令集授权，2022-2027年免费使用，后续保底模式为3000万元一次性费用加2%销售收入版税，同时正洽谈联合IP研发模式，争取军用、民用技术成果分工落地的独家民用权益。</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公司搭建了差异化双线销售体系，GPU纯芯片产品、算力中心类整机项目采用直销模式，政府及央企集采类整机、台式机、笔记本产品采用经销分销模式。公司2024年正式启动市场化销售，全年整机销售额超千万，2025年整体营收达5000万元，其中HL100芯片相关收入500余万元，其余为整机销售收入，当年仅9台自研整机搭载自研GPU，主流整机收入来自通用自研服务器，该类服务器为企业自主研发成型产品，并非简单零部件组装。</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截至2026年访谈，公司已签订6.5亿元在手订单，核心客户包括光环云、格安、飞拓等，其中GPU相关订单约4亿元，订单主要以整机成套交付为主，少量为纯芯片销售；另有宜昌、新疆哈密、青海、郑州等多个重点跟踪待落地大额订单，冲刺2026年15亿元在手订单目标。</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2026年公司既定销售目标</w:t>
      </w:r>
      <w:r>
        <w:rPr>
          <w:rFonts w:hint="eastAsia"/>
          <w:b/>
          <w:bCs/>
          <w:sz w:val="28"/>
          <w:szCs w:val="28"/>
          <w:u w:val="single"/>
        </w:rPr>
        <w:t>7.5</w:t>
      </w:r>
      <w:r>
        <w:rPr>
          <w:b/>
          <w:bCs/>
          <w:sz w:val="28"/>
          <w:szCs w:val="28"/>
          <w:u w:val="single"/>
        </w:rPr>
        <w:t>亿元，其中GPU卡目标</w:t>
      </w:r>
      <w:r>
        <w:rPr>
          <w:rFonts w:hint="eastAsia"/>
          <w:b/>
          <w:bCs/>
          <w:sz w:val="28"/>
          <w:szCs w:val="28"/>
          <w:u w:val="single"/>
        </w:rPr>
        <w:t>5</w:t>
      </w:r>
      <w:r>
        <w:rPr>
          <w:b/>
          <w:bCs/>
          <w:sz w:val="28"/>
          <w:szCs w:val="28"/>
          <w:u w:val="single"/>
        </w:rPr>
        <w:t>亿元，上半年订单集中签约、</w:t>
      </w:r>
      <w:r>
        <w:rPr>
          <w:rFonts w:hint="eastAsia"/>
          <w:b/>
          <w:bCs/>
          <w:sz w:val="28"/>
          <w:szCs w:val="28"/>
          <w:u w:val="single"/>
        </w:rPr>
        <w:t>下半年</w:t>
      </w:r>
      <w:r>
        <w:rPr>
          <w:b/>
          <w:bCs/>
          <w:sz w:val="28"/>
          <w:szCs w:val="28"/>
          <w:u w:val="single"/>
        </w:rPr>
        <w:t>集中交付确认收入，目前已确认营收约1000万元，现有</w:t>
      </w:r>
      <w:r>
        <w:rPr>
          <w:rFonts w:hint="eastAsia"/>
          <w:b/>
          <w:bCs/>
          <w:sz w:val="28"/>
          <w:szCs w:val="28"/>
          <w:u w:val="single"/>
        </w:rPr>
        <w:t>四</w:t>
      </w:r>
      <w:r>
        <w:rPr>
          <w:b/>
          <w:bCs/>
          <w:sz w:val="28"/>
          <w:szCs w:val="28"/>
          <w:u w:val="single"/>
        </w:rPr>
        <w:t>千余张GPU芯片库存，货值近亿元，6月将启动新一轮流片保障交付。回款层面，行业主流采用334结算模式，优质客户可实现7</w:t>
      </w:r>
      <w:r>
        <w:rPr>
          <w:rFonts w:hint="eastAsia"/>
          <w:b/>
          <w:bCs/>
          <w:sz w:val="28"/>
          <w:szCs w:val="28"/>
          <w:u w:val="single"/>
        </w:rPr>
        <w:t>/</w:t>
      </w:r>
      <w:r>
        <w:rPr>
          <w:b/>
          <w:bCs/>
          <w:sz w:val="28"/>
          <w:szCs w:val="28"/>
          <w:u w:val="single"/>
        </w:rPr>
        <w:t>3结算模式，常规项目全流程执行回款周期超半年。</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产能与供应链方面，公司采用国内外双产线、双工艺布局，敲定</w:t>
      </w:r>
      <w:r>
        <w:rPr>
          <w:rFonts w:hint="eastAsia"/>
          <w:b/>
          <w:bCs/>
          <w:sz w:val="28"/>
          <w:szCs w:val="28"/>
          <w:u w:val="single"/>
        </w:rPr>
        <w:t>两</w:t>
      </w:r>
      <w:r>
        <w:rPr>
          <w:b/>
          <w:bCs/>
          <w:sz w:val="28"/>
          <w:szCs w:val="28"/>
          <w:u w:val="single"/>
        </w:rPr>
        <w:t>家国内代工厂，形成双供应链稳定保障，远期规划2028年达成年产10万张GPU卡、百亿货值的产能规模，当前产能可完全覆盖自身需求，无供货缺口。</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产品层面，公司HL100芯片放弃高强度训练性能，聚焦纯推理赛道，相较于华为训推一体等高成本竞品，售价仅为行业一半，功耗与运维成本优势显著，虽受LPDDR5显存架构限制，显存带宽与HBM架构竞品存在差距，运算速度为行业中等偏上水平，但在内容审核、图像识别、智能问答等多数商用场景适配性良好，性价比优势突出。目前公司核心直接竞争对手为华为，其余赛道玩家暂无成熟量产推理产品，行业竞争格局优势明显。</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在技术合作与人才保障方面，公司聘请沈昌祥院士担任首席科学家、华隆研究院院长，设立专属信创实验室，牵头SOC安全芯片研发、技术安全布局与高端人才培养，公司每年支付230万元合作费用，可无偿使用院士相关专利技术，且院士技术体系与申威指令集相互独立，无技术重叠。</w:t>
      </w:r>
    </w:p>
    <w:p>
      <w:pPr>
        <w:widowControl/>
        <w:numPr>
          <w:ilvl w:val="0"/>
          <w:numId w:val="3"/>
        </w:numPr>
        <w:overflowPunct w:val="0"/>
        <w:topLinePunct/>
        <w:adjustRightInd w:val="0"/>
        <w:snapToGrid w:val="0"/>
        <w:spacing w:line="240" w:lineRule="auto"/>
        <w:ind w:firstLineChars="0"/>
        <w:rPr>
          <w:b/>
          <w:bCs/>
          <w:sz w:val="28"/>
          <w:szCs w:val="28"/>
          <w:u w:val="single"/>
        </w:rPr>
      </w:pPr>
      <w:r>
        <w:rPr>
          <w:b/>
          <w:bCs/>
          <w:sz w:val="28"/>
          <w:szCs w:val="28"/>
          <w:u w:val="single"/>
        </w:rPr>
        <w:t>值得明确的是，公司核心业务坚守国家算力安全与信创国产替代核心使命，依托自主可控的指令集架构，突破国外X86、ARM生态桎梏，解决行业“卡脖子”难题。目前公司销售团队搭建较晚、规模精简，一线及配套岗位合计12人，团队高效支撑了公司市场化业务快速落地。</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具体内容</w:t>
      </w:r>
    </w:p>
    <w:p>
      <w:pPr>
        <w:widowControl/>
        <w:adjustRightInd w:val="0"/>
        <w:snapToGrid w:val="0"/>
        <w:spacing w:line="240" w:lineRule="auto"/>
        <w:ind w:firstLineChars="0" w:firstLine="0"/>
        <w:jc w:val="left"/>
        <w:rPr>
          <w:sz w:val="28"/>
          <w:szCs w:val="28"/>
        </w:rPr>
      </w:pPr>
      <w:r>
        <w:rPr>
          <w:b/>
          <w:bCs/>
          <w:sz w:val="28"/>
          <w:szCs w:val="28"/>
        </w:rPr>
        <w:t>Q：请从整体上介绍一下公司的发展起源与核心技术背景。</w:t>
      </w:r>
    </w:p>
    <w:p>
      <w:pPr>
        <w:widowControl/>
        <w:adjustRightInd w:val="0"/>
        <w:snapToGrid w:val="0"/>
        <w:spacing w:line="240" w:lineRule="auto"/>
        <w:ind w:firstLineChars="0" w:firstLine="0"/>
        <w:jc w:val="left"/>
        <w:rPr>
          <w:sz w:val="28"/>
          <w:szCs w:val="28"/>
        </w:rPr>
      </w:pPr>
      <w:r>
        <w:rPr>
          <w:sz w:val="28"/>
          <w:szCs w:val="28"/>
        </w:rPr>
        <w:t>A：</w:t>
      </w:r>
      <w:r>
        <w:rPr>
          <w:rFonts w:hint="eastAsia"/>
          <w:sz w:val="28"/>
          <w:szCs w:val="28"/>
        </w:rPr>
        <w:t>1.</w:t>
      </w:r>
      <w:r>
        <w:rPr>
          <w:sz w:val="28"/>
          <w:szCs w:val="28"/>
        </w:rPr>
        <w:t>公司发展起源于2016年无锡神威太湖之光全球发布，该超算当时位列全球第一、斩获世界超算冠军。其搭载的</w:t>
      </w:r>
      <w:r>
        <w:rPr>
          <w:rFonts w:hint="eastAsia"/>
          <w:sz w:val="28"/>
          <w:szCs w:val="28"/>
        </w:rPr>
        <w:t>申</w:t>
      </w:r>
      <w:r>
        <w:rPr>
          <w:sz w:val="28"/>
          <w:szCs w:val="28"/>
        </w:rPr>
        <w:t>威26010芯片，是当时国内唯一一款完全自主研发、全代码国产编写的芯片，核心技术源自军方情报部。该芯片拥有完整产品矩阵，覆盖工控、桌面、服务器、超算等领域，依托对应IP可全面适配国民经济各大行业场景。</w:t>
      </w:r>
    </w:p>
    <w:p>
      <w:pPr>
        <w:widowControl/>
        <w:adjustRightInd w:val="0"/>
        <w:snapToGrid w:val="0"/>
        <w:spacing w:line="240" w:lineRule="auto"/>
        <w:ind w:firstLineChars="0" w:firstLine="0"/>
        <w:jc w:val="left"/>
        <w:rPr>
          <w:sz w:val="28"/>
          <w:szCs w:val="28"/>
        </w:rPr>
      </w:pPr>
      <w:r>
        <w:rPr>
          <w:rFonts w:hint="eastAsia"/>
          <w:sz w:val="28"/>
          <w:szCs w:val="28"/>
        </w:rPr>
        <w:t>2.</w:t>
      </w:r>
      <w:r>
        <w:rPr>
          <w:sz w:val="28"/>
          <w:szCs w:val="28"/>
        </w:rPr>
        <w:t>军方后续推动该系列芯片从军用转向民用产业化，由中央军委、国务院国资委、工信部联合推进IP产业化落地，并层层选拔王嘉诚担任董事长牵头项目。团队调研行业后，发现民营团队模式更适配芯片产业化落地，因此向主管单位提出自主运营模式。后续资源型混合所有制体制方案获批，为公司成立奠定了体制基础。</w:t>
      </w:r>
    </w:p>
    <w:p>
      <w:pPr>
        <w:widowControl/>
        <w:adjustRightInd w:val="0"/>
        <w:snapToGrid w:val="0"/>
        <w:spacing w:line="240" w:lineRule="auto"/>
        <w:ind w:firstLineChars="0" w:firstLine="0"/>
        <w:jc w:val="left"/>
        <w:rPr>
          <w:sz w:val="28"/>
          <w:szCs w:val="28"/>
        </w:rPr>
      </w:pPr>
      <w:r>
        <w:rPr>
          <w:b/>
          <w:bCs/>
          <w:sz w:val="28"/>
          <w:szCs w:val="28"/>
        </w:rPr>
        <w:t>Q：请介绍公司成立时间、核心定位与两大核心任务。</w:t>
      </w:r>
    </w:p>
    <w:p>
      <w:pPr>
        <w:widowControl/>
        <w:adjustRightInd w:val="0"/>
        <w:snapToGrid w:val="0"/>
        <w:spacing w:line="240" w:lineRule="auto"/>
        <w:ind w:firstLineChars="0" w:firstLine="0"/>
        <w:jc w:val="left"/>
        <w:rPr>
          <w:sz w:val="28"/>
          <w:szCs w:val="28"/>
        </w:rPr>
      </w:pPr>
      <w:r>
        <w:rPr>
          <w:sz w:val="28"/>
          <w:szCs w:val="28"/>
        </w:rPr>
        <w:t>A：公司于2017年10月24日正式成立。公司设立有两大核心任务，一是基于</w:t>
      </w:r>
      <w:r>
        <w:rPr>
          <w:rFonts w:hint="eastAsia"/>
          <w:sz w:val="28"/>
          <w:szCs w:val="28"/>
        </w:rPr>
        <w:t>申</w:t>
      </w:r>
      <w:r>
        <w:rPr>
          <w:sz w:val="28"/>
          <w:szCs w:val="28"/>
        </w:rPr>
        <w:t>威、RISC-V等国家可控指令集架构，推进相关技术的产业化与民用化落地；二是保障国家</w:t>
      </w:r>
      <w:r>
        <w:rPr>
          <w:rFonts w:hint="eastAsia"/>
          <w:sz w:val="28"/>
          <w:szCs w:val="28"/>
        </w:rPr>
        <w:t>IT软硬件供给侧</w:t>
      </w:r>
      <w:r>
        <w:rPr>
          <w:sz w:val="28"/>
          <w:szCs w:val="28"/>
        </w:rPr>
        <w:t>安全，同时将自研技术与产品输出至一带一路沿线国家。</w:t>
      </w:r>
    </w:p>
    <w:p>
      <w:pPr>
        <w:widowControl/>
        <w:adjustRightInd w:val="0"/>
        <w:snapToGrid w:val="0"/>
        <w:spacing w:line="240" w:lineRule="auto"/>
        <w:ind w:firstLineChars="0" w:firstLine="0"/>
        <w:jc w:val="left"/>
        <w:rPr>
          <w:sz w:val="28"/>
          <w:szCs w:val="28"/>
        </w:rPr>
      </w:pPr>
      <w:r>
        <w:rPr>
          <w:b/>
          <w:bCs/>
          <w:sz w:val="28"/>
          <w:szCs w:val="28"/>
        </w:rPr>
        <w:t>Q：请介绍公司的核心业务布局与研发成果。</w:t>
      </w:r>
    </w:p>
    <w:p>
      <w:pPr>
        <w:widowControl/>
        <w:adjustRightInd w:val="0"/>
        <w:snapToGrid w:val="0"/>
        <w:spacing w:line="240" w:lineRule="auto"/>
        <w:ind w:firstLineChars="0" w:firstLine="0"/>
        <w:jc w:val="left"/>
        <w:rPr>
          <w:sz w:val="28"/>
          <w:szCs w:val="28"/>
        </w:rPr>
      </w:pPr>
      <w:r>
        <w:rPr>
          <w:sz w:val="28"/>
          <w:szCs w:val="28"/>
        </w:rPr>
        <w:t>A：2018年至2023年，公司核心聚焦</w:t>
      </w:r>
      <w:r>
        <w:rPr>
          <w:rFonts w:hint="eastAsia"/>
          <w:sz w:val="28"/>
          <w:szCs w:val="28"/>
        </w:rPr>
        <w:t>基于申威CPU芯片的</w:t>
      </w:r>
      <w:r>
        <w:rPr>
          <w:sz w:val="28"/>
          <w:szCs w:val="28"/>
        </w:rPr>
        <w:t>整机研发，深耕申威技术体系、上下游产业链及市场客户需求。针对申威技术原有军用属性，完成了技术参数、产品指标的民用适配改造。同时将自研整机送测至三四十家各类政企客户，覆盖三大运营商、国家电网、国有大行、各类金融及行业企业，全面摸清了市场需求与行业生态。</w:t>
      </w:r>
    </w:p>
    <w:p>
      <w:pPr>
        <w:widowControl/>
        <w:adjustRightInd w:val="0"/>
        <w:snapToGrid w:val="0"/>
        <w:spacing w:line="240" w:lineRule="auto"/>
        <w:ind w:firstLineChars="0" w:firstLine="0"/>
        <w:jc w:val="left"/>
        <w:rPr>
          <w:sz w:val="28"/>
          <w:szCs w:val="28"/>
        </w:rPr>
      </w:pPr>
      <w:r>
        <w:rPr>
          <w:b/>
          <w:bCs/>
          <w:sz w:val="28"/>
          <w:szCs w:val="28"/>
        </w:rPr>
        <w:t>Q：请介绍公司芯片研发进度与迭代规划。</w:t>
      </w:r>
    </w:p>
    <w:p>
      <w:pPr>
        <w:widowControl/>
        <w:adjustRightInd w:val="0"/>
        <w:snapToGrid w:val="0"/>
        <w:spacing w:line="240" w:lineRule="auto"/>
        <w:ind w:firstLineChars="0" w:firstLine="0"/>
        <w:jc w:val="left"/>
        <w:rPr>
          <w:sz w:val="28"/>
          <w:szCs w:val="28"/>
        </w:rPr>
      </w:pPr>
      <w:r>
        <w:rPr>
          <w:sz w:val="28"/>
          <w:szCs w:val="28"/>
        </w:rPr>
        <w:t>A：公司在完成</w:t>
      </w:r>
      <w:r>
        <w:rPr>
          <w:rFonts w:hint="eastAsia"/>
          <w:sz w:val="28"/>
          <w:szCs w:val="28"/>
        </w:rPr>
        <w:t>基于申威CPU芯片的</w:t>
      </w:r>
      <w:r>
        <w:rPr>
          <w:sz w:val="28"/>
          <w:szCs w:val="28"/>
        </w:rPr>
        <w:t>整机技术积累后</w:t>
      </w:r>
      <w:r>
        <w:rPr>
          <w:rFonts w:hint="eastAsia"/>
          <w:sz w:val="28"/>
          <w:szCs w:val="28"/>
        </w:rPr>
        <w:t>，</w:t>
      </w:r>
      <w:r>
        <w:rPr>
          <w:sz w:val="28"/>
          <w:szCs w:val="28"/>
        </w:rPr>
        <w:t>启动自研芯片研发，202</w:t>
      </w:r>
      <w:r>
        <w:rPr>
          <w:rFonts w:hint="eastAsia"/>
          <w:sz w:val="28"/>
          <w:szCs w:val="28"/>
        </w:rPr>
        <w:t>5</w:t>
      </w:r>
      <w:r>
        <w:rPr>
          <w:sz w:val="28"/>
          <w:szCs w:val="28"/>
        </w:rPr>
        <w:t>年11月19日正式发布首款HL100推理芯片。基于申威及RISC-V指令集的服务器CPU项目已完成立项，目前处于架构设计阶段。第二代GPU芯片HL200计划于2026年年底完成流片落地。除此之外，公司布局量子芯片QPU领域，现有两款实验室芯片，技术迭代至156比特，正从实验室样品向商业化芯片转型。</w:t>
      </w:r>
    </w:p>
    <w:p>
      <w:pPr>
        <w:widowControl/>
        <w:adjustRightInd w:val="0"/>
        <w:snapToGrid w:val="0"/>
        <w:spacing w:line="240" w:lineRule="auto"/>
        <w:ind w:firstLineChars="0" w:firstLine="0"/>
        <w:jc w:val="left"/>
        <w:rPr>
          <w:sz w:val="28"/>
          <w:szCs w:val="28"/>
        </w:rPr>
      </w:pPr>
      <w:r>
        <w:rPr>
          <w:b/>
          <w:bCs/>
          <w:sz w:val="28"/>
          <w:szCs w:val="28"/>
        </w:rPr>
        <w:t>Q：请介绍公司整体产品体系与业务布局。</w:t>
      </w:r>
    </w:p>
    <w:p>
      <w:pPr>
        <w:widowControl/>
        <w:adjustRightInd w:val="0"/>
        <w:snapToGrid w:val="0"/>
        <w:spacing w:line="240" w:lineRule="auto"/>
        <w:ind w:firstLineChars="0" w:firstLine="0"/>
        <w:jc w:val="left"/>
        <w:rPr>
          <w:sz w:val="28"/>
          <w:szCs w:val="28"/>
        </w:rPr>
      </w:pPr>
      <w:r>
        <w:rPr>
          <w:sz w:val="28"/>
          <w:szCs w:val="28"/>
        </w:rPr>
        <w:t>A：公司形成CPU、GPU、QPU三类芯片融合的产品体系，同时搭建了完整的产品矩阵，分为自研芯片、自研整机、算力中心解决方案三大板块。经过多年研发，公司服务器级整机技术成熟，可适配传统IDC、新型算力中心等场景，依托自研芯片与整机技术，能够为客户提供一站式算力中心解决方案。</w:t>
      </w:r>
    </w:p>
    <w:p>
      <w:pPr>
        <w:widowControl/>
        <w:adjustRightInd w:val="0"/>
        <w:snapToGrid w:val="0"/>
        <w:spacing w:line="240" w:lineRule="auto"/>
        <w:ind w:firstLineChars="0" w:firstLine="0"/>
        <w:jc w:val="left"/>
        <w:rPr>
          <w:sz w:val="28"/>
          <w:szCs w:val="28"/>
        </w:rPr>
      </w:pPr>
      <w:r>
        <w:rPr>
          <w:b/>
          <w:bCs/>
          <w:sz w:val="28"/>
          <w:szCs w:val="28"/>
        </w:rPr>
        <w:t>Q：请介绍公司的市场销售与中标情况。</w:t>
      </w:r>
    </w:p>
    <w:p>
      <w:pPr>
        <w:widowControl/>
        <w:adjustRightInd w:val="0"/>
        <w:snapToGrid w:val="0"/>
        <w:spacing w:line="240" w:lineRule="auto"/>
        <w:ind w:firstLineChars="0" w:firstLine="0"/>
        <w:jc w:val="left"/>
        <w:rPr>
          <w:sz w:val="28"/>
          <w:szCs w:val="28"/>
        </w:rPr>
      </w:pPr>
      <w:r>
        <w:rPr>
          <w:sz w:val="28"/>
          <w:szCs w:val="28"/>
        </w:rPr>
        <w:t>A：公司2024年正式启动市场化销售，初期以整机销售为主，全年整机销售额超千万。2024至2025年，公司信创业务成功中标全国23个省份，产品涵盖台式机、笔记本、服务器等品类，合作央企包括中国移动、中国能建、光</w:t>
      </w:r>
      <w:r>
        <w:rPr>
          <w:rFonts w:hint="eastAsia"/>
          <w:sz w:val="28"/>
          <w:szCs w:val="28"/>
        </w:rPr>
        <w:t>环</w:t>
      </w:r>
      <w:r>
        <w:rPr>
          <w:sz w:val="28"/>
          <w:szCs w:val="28"/>
        </w:rPr>
        <w:t>云</w:t>
      </w:r>
      <w:r>
        <w:rPr>
          <w:rFonts w:hint="eastAsia"/>
          <w:sz w:val="28"/>
          <w:szCs w:val="28"/>
        </w:rPr>
        <w:t>（光环新网旗下从事数据中心业务的公司）</w:t>
      </w:r>
      <w:r>
        <w:rPr>
          <w:sz w:val="28"/>
          <w:szCs w:val="28"/>
        </w:rPr>
        <w:t>等多家大型企业。2025年公司整体营收达5000万元。</w:t>
      </w:r>
    </w:p>
    <w:p>
      <w:pPr>
        <w:widowControl/>
        <w:adjustRightInd w:val="0"/>
        <w:snapToGrid w:val="0"/>
        <w:spacing w:line="240" w:lineRule="auto"/>
        <w:ind w:firstLineChars="0" w:firstLine="0"/>
        <w:jc w:val="left"/>
        <w:rPr>
          <w:sz w:val="28"/>
          <w:szCs w:val="28"/>
        </w:rPr>
      </w:pPr>
      <w:r>
        <w:rPr>
          <w:b/>
          <w:bCs/>
          <w:sz w:val="28"/>
          <w:szCs w:val="28"/>
        </w:rPr>
        <w:t>Q：请介绍公司2025年芯片与整机的营收构成。</w:t>
      </w:r>
    </w:p>
    <w:p>
      <w:pPr>
        <w:widowControl/>
        <w:adjustRightInd w:val="0"/>
        <w:snapToGrid w:val="0"/>
        <w:spacing w:line="240" w:lineRule="auto"/>
        <w:ind w:firstLineChars="0" w:firstLine="0"/>
        <w:jc w:val="left"/>
        <w:rPr>
          <w:sz w:val="28"/>
          <w:szCs w:val="28"/>
        </w:rPr>
      </w:pPr>
      <w:r>
        <w:rPr>
          <w:sz w:val="28"/>
          <w:szCs w:val="28"/>
        </w:rPr>
        <w:t>A：2025年5000万整体营收中，HL100芯片相关收入500余万元。HL100芯片202</w:t>
      </w:r>
      <w:r>
        <w:rPr>
          <w:rFonts w:hint="eastAsia"/>
          <w:sz w:val="28"/>
          <w:szCs w:val="28"/>
        </w:rPr>
        <w:t>5</w:t>
      </w:r>
      <w:r>
        <w:rPr>
          <w:sz w:val="28"/>
          <w:szCs w:val="28"/>
        </w:rPr>
        <w:t>年11月发布后，公司签订六千余万元对应合同，2025年确认收入1400余万元，其中GPU卡专属收入500余万元，其余营收均来自整机产品销售。</w:t>
      </w:r>
    </w:p>
    <w:p>
      <w:pPr>
        <w:widowControl/>
        <w:adjustRightInd w:val="0"/>
        <w:snapToGrid w:val="0"/>
        <w:spacing w:line="240" w:lineRule="auto"/>
        <w:ind w:firstLineChars="0" w:firstLine="0"/>
        <w:jc w:val="left"/>
        <w:rPr>
          <w:sz w:val="28"/>
          <w:szCs w:val="28"/>
        </w:rPr>
      </w:pPr>
      <w:r>
        <w:rPr>
          <w:b/>
          <w:bCs/>
          <w:sz w:val="28"/>
          <w:szCs w:val="28"/>
        </w:rPr>
        <w:t>Q：请介绍公司2026年在手订单、收入预期与全年销售目标。</w:t>
      </w:r>
    </w:p>
    <w:p>
      <w:pPr>
        <w:widowControl/>
        <w:adjustRightInd w:val="0"/>
        <w:snapToGrid w:val="0"/>
        <w:spacing w:line="240" w:lineRule="auto"/>
        <w:ind w:firstLineChars="0" w:firstLine="0"/>
        <w:jc w:val="left"/>
        <w:rPr>
          <w:sz w:val="28"/>
          <w:szCs w:val="28"/>
        </w:rPr>
      </w:pPr>
      <w:r>
        <w:rPr>
          <w:sz w:val="28"/>
          <w:szCs w:val="28"/>
        </w:rPr>
        <w:t>A：2026年截至访谈当日，公司已签订销售合同总额6.5亿元，预计</w:t>
      </w:r>
      <w:r>
        <w:rPr>
          <w:rFonts w:hint="eastAsia"/>
          <w:sz w:val="28"/>
          <w:szCs w:val="28"/>
        </w:rPr>
        <w:t>7</w:t>
      </w:r>
      <w:r>
        <w:rPr>
          <w:sz w:val="28"/>
          <w:szCs w:val="28"/>
        </w:rPr>
        <w:t>月可确认收入7000万至1亿元。受芯片流片周期限制，当前库存芯片</w:t>
      </w:r>
      <w:r>
        <w:rPr>
          <w:rFonts w:hint="eastAsia"/>
          <w:sz w:val="28"/>
          <w:szCs w:val="28"/>
        </w:rPr>
        <w:t>四</w:t>
      </w:r>
      <w:r>
        <w:rPr>
          <w:sz w:val="28"/>
          <w:szCs w:val="28"/>
        </w:rPr>
        <w:t>千余张，可确认收入</w:t>
      </w:r>
      <w:r>
        <w:rPr>
          <w:rFonts w:hint="eastAsia"/>
          <w:sz w:val="28"/>
          <w:szCs w:val="28"/>
        </w:rPr>
        <w:t>1亿元</w:t>
      </w:r>
      <w:r>
        <w:rPr>
          <w:sz w:val="28"/>
          <w:szCs w:val="28"/>
        </w:rPr>
        <w:t>。新一批芯片预计10月流片完成，10-11月集中交付订单。公司2026年整体销售目标</w:t>
      </w:r>
      <w:r>
        <w:rPr>
          <w:rFonts w:hint="eastAsia"/>
          <w:sz w:val="28"/>
          <w:szCs w:val="28"/>
        </w:rPr>
        <w:t>7.5</w:t>
      </w:r>
      <w:r>
        <w:rPr>
          <w:sz w:val="28"/>
          <w:szCs w:val="28"/>
        </w:rPr>
        <w:t>亿元，其中GPU卡产品销售目标</w:t>
      </w:r>
      <w:r>
        <w:rPr>
          <w:rFonts w:hint="eastAsia"/>
          <w:sz w:val="28"/>
          <w:szCs w:val="28"/>
        </w:rPr>
        <w:t>5</w:t>
      </w:r>
      <w:r>
        <w:rPr>
          <w:sz w:val="28"/>
          <w:szCs w:val="28"/>
        </w:rPr>
        <w:t>亿元。</w:t>
      </w:r>
    </w:p>
    <w:p>
      <w:pPr>
        <w:widowControl/>
        <w:adjustRightInd w:val="0"/>
        <w:snapToGrid w:val="0"/>
        <w:spacing w:line="240" w:lineRule="auto"/>
        <w:ind w:firstLineChars="0" w:firstLine="0"/>
        <w:jc w:val="left"/>
        <w:rPr>
          <w:sz w:val="28"/>
          <w:szCs w:val="28"/>
        </w:rPr>
      </w:pPr>
      <w:r>
        <w:rPr>
          <w:b/>
          <w:bCs/>
          <w:sz w:val="28"/>
          <w:szCs w:val="28"/>
        </w:rPr>
        <w:t>Q：请系统介绍公司现行的产品销售模式。</w:t>
      </w:r>
    </w:p>
    <w:p>
      <w:pPr>
        <w:widowControl/>
        <w:adjustRightInd w:val="0"/>
        <w:snapToGrid w:val="0"/>
        <w:spacing w:line="240" w:lineRule="auto"/>
        <w:ind w:firstLineChars="0" w:firstLine="0"/>
        <w:jc w:val="left"/>
        <w:rPr>
          <w:sz w:val="28"/>
          <w:szCs w:val="28"/>
        </w:rPr>
      </w:pPr>
      <w:r>
        <w:rPr>
          <w:sz w:val="28"/>
          <w:szCs w:val="28"/>
        </w:rPr>
        <w:t>A：公司采用差异化双线销售模式，GPU卡等纯芯片产品全部采用直销模式，无中间经销商。整机产品分场景运营，算力中心类整机项目采用直销模式，由公司直接对接客户签约；政府、央企集采类的整机、台式机、笔记本产品，采用分销商经销模式，依托各地经销商落地地级市客户拓展与销售工作。</w:t>
      </w:r>
    </w:p>
    <w:p>
      <w:pPr>
        <w:widowControl/>
        <w:adjustRightInd w:val="0"/>
        <w:snapToGrid w:val="0"/>
        <w:spacing w:line="240" w:lineRule="auto"/>
        <w:ind w:firstLineChars="0" w:firstLine="0"/>
        <w:jc w:val="left"/>
        <w:rPr>
          <w:sz w:val="28"/>
          <w:szCs w:val="28"/>
        </w:rPr>
      </w:pPr>
      <w:r>
        <w:rPr>
          <w:b/>
          <w:bCs/>
          <w:sz w:val="28"/>
          <w:szCs w:val="28"/>
        </w:rPr>
        <w:t>Q：沈昌祥院士目前与公司的合作关系是什么样的？</w:t>
      </w:r>
    </w:p>
    <w:p>
      <w:pPr>
        <w:widowControl/>
        <w:adjustRightInd w:val="0"/>
        <w:snapToGrid w:val="0"/>
        <w:spacing w:line="240" w:lineRule="auto"/>
        <w:ind w:firstLineChars="0" w:firstLine="0"/>
        <w:jc w:val="left"/>
        <w:rPr>
          <w:sz w:val="28"/>
          <w:szCs w:val="28"/>
        </w:rPr>
      </w:pPr>
      <w:r>
        <w:rPr>
          <w:sz w:val="28"/>
          <w:szCs w:val="28"/>
        </w:rPr>
        <w:t>A：沈昌祥院士在公司设立</w:t>
      </w:r>
      <w:r>
        <w:rPr>
          <w:rFonts w:hint="eastAsia"/>
          <w:sz w:val="28"/>
          <w:szCs w:val="28"/>
        </w:rPr>
        <w:t>信息安全</w:t>
      </w:r>
      <w:r>
        <w:rPr>
          <w:sz w:val="28"/>
          <w:szCs w:val="28"/>
        </w:rPr>
        <w:t>实验室，担任公司首席科学家、华隆研究院院长。核心工作为牵头研发SOC安全芯片，统筹公司高端人才培养，负责公司整体技术安全方向布局。双方合作薪酬分为个人劳务合同月度薪资、所属公司季度咨询服务费两种形式。</w:t>
      </w:r>
    </w:p>
    <w:p>
      <w:pPr>
        <w:widowControl/>
        <w:adjustRightInd w:val="0"/>
        <w:snapToGrid w:val="0"/>
        <w:spacing w:line="240" w:lineRule="auto"/>
        <w:ind w:firstLineChars="0" w:firstLine="0"/>
        <w:jc w:val="left"/>
        <w:rPr>
          <w:sz w:val="28"/>
          <w:szCs w:val="28"/>
        </w:rPr>
      </w:pPr>
      <w:r>
        <w:rPr>
          <w:b/>
          <w:bCs/>
          <w:sz w:val="28"/>
          <w:szCs w:val="28"/>
        </w:rPr>
        <w:t>Q：沈昌祥院士相关专利与公司的合作情况如何？</w:t>
      </w:r>
    </w:p>
    <w:p>
      <w:pPr>
        <w:widowControl/>
        <w:adjustRightInd w:val="0"/>
        <w:snapToGrid w:val="0"/>
        <w:spacing w:line="240" w:lineRule="auto"/>
        <w:ind w:firstLineChars="0" w:firstLine="0"/>
        <w:jc w:val="left"/>
        <w:rPr>
          <w:sz w:val="28"/>
          <w:szCs w:val="28"/>
        </w:rPr>
      </w:pPr>
      <w:r>
        <w:rPr>
          <w:sz w:val="28"/>
          <w:szCs w:val="28"/>
        </w:rPr>
        <w:t>A：公司未直接采购或受让沈昌祥院士的个人专利，但双方合作的劳务及咨询费用已包含专利使用权益。公司产品若用到院士相关专利技术，均可无偿使用。</w:t>
      </w:r>
    </w:p>
    <w:p>
      <w:pPr>
        <w:widowControl/>
        <w:adjustRightInd w:val="0"/>
        <w:snapToGrid w:val="0"/>
        <w:spacing w:line="240" w:lineRule="auto"/>
        <w:ind w:firstLineChars="0" w:firstLine="0"/>
        <w:jc w:val="left"/>
        <w:rPr>
          <w:sz w:val="28"/>
          <w:szCs w:val="28"/>
        </w:rPr>
      </w:pPr>
      <w:r>
        <w:rPr>
          <w:b/>
          <w:bCs/>
          <w:sz w:val="28"/>
          <w:szCs w:val="28"/>
        </w:rPr>
        <w:t>Q：每年支付给沈昌祥院士及其公司的合作费用总额大概是多少？</w:t>
      </w:r>
    </w:p>
    <w:p>
      <w:pPr>
        <w:widowControl/>
        <w:adjustRightInd w:val="0"/>
        <w:snapToGrid w:val="0"/>
        <w:spacing w:line="240" w:lineRule="auto"/>
        <w:ind w:firstLineChars="0" w:firstLine="0"/>
        <w:jc w:val="left"/>
        <w:rPr>
          <w:sz w:val="28"/>
          <w:szCs w:val="28"/>
        </w:rPr>
      </w:pPr>
      <w:r>
        <w:rPr>
          <w:sz w:val="28"/>
          <w:szCs w:val="28"/>
        </w:rPr>
        <w:t>A：公司每年支付给沈昌祥院士个人及所属公司的合作总费用约230万元。</w:t>
      </w:r>
    </w:p>
    <w:p>
      <w:pPr>
        <w:widowControl/>
        <w:adjustRightInd w:val="0"/>
        <w:snapToGrid w:val="0"/>
        <w:spacing w:line="240" w:lineRule="auto"/>
        <w:ind w:firstLineChars="0" w:firstLine="0"/>
        <w:jc w:val="left"/>
        <w:rPr>
          <w:sz w:val="28"/>
          <w:szCs w:val="28"/>
        </w:rPr>
      </w:pPr>
      <w:r>
        <w:rPr>
          <w:b/>
          <w:bCs/>
          <w:sz w:val="28"/>
          <w:szCs w:val="28"/>
        </w:rPr>
        <w:t>Q：申威指令集与沈昌祥院士是否存在关联？</w:t>
      </w:r>
    </w:p>
    <w:p>
      <w:pPr>
        <w:widowControl/>
        <w:adjustRightInd w:val="0"/>
        <w:snapToGrid w:val="0"/>
        <w:spacing w:line="240" w:lineRule="auto"/>
        <w:ind w:firstLineChars="0" w:firstLine="0"/>
        <w:jc w:val="left"/>
        <w:rPr>
          <w:sz w:val="28"/>
          <w:szCs w:val="28"/>
        </w:rPr>
      </w:pPr>
      <w:r>
        <w:rPr>
          <w:sz w:val="28"/>
          <w:szCs w:val="28"/>
        </w:rPr>
        <w:t>A：申威指令集技术与沈昌祥院士无任何关联。院士主要负责技术安全、可信体系领域，与申威指令集属于两个独立的技术方向。</w:t>
      </w:r>
    </w:p>
    <w:p>
      <w:pPr>
        <w:widowControl/>
        <w:adjustRightInd w:val="0"/>
        <w:snapToGrid w:val="0"/>
        <w:spacing w:line="240" w:lineRule="auto"/>
        <w:ind w:firstLineChars="0" w:firstLine="0"/>
        <w:jc w:val="left"/>
        <w:rPr>
          <w:sz w:val="28"/>
          <w:szCs w:val="28"/>
        </w:rPr>
      </w:pPr>
      <w:r>
        <w:rPr>
          <w:b/>
          <w:bCs/>
          <w:sz w:val="28"/>
          <w:szCs w:val="28"/>
        </w:rPr>
        <w:t>Q：受访人与沈昌祥院士是否存在亲属关系？</w:t>
      </w:r>
    </w:p>
    <w:p>
      <w:pPr>
        <w:widowControl/>
        <w:adjustRightInd w:val="0"/>
        <w:snapToGrid w:val="0"/>
        <w:spacing w:line="240" w:lineRule="auto"/>
        <w:ind w:firstLineChars="0" w:firstLine="0"/>
        <w:jc w:val="left"/>
        <w:rPr>
          <w:sz w:val="28"/>
          <w:szCs w:val="28"/>
        </w:rPr>
      </w:pPr>
      <w:r>
        <w:rPr>
          <w:sz w:val="28"/>
          <w:szCs w:val="28"/>
        </w:rPr>
        <w:t>A：受访人与沈昌祥院士无任何亲属关系。</w:t>
      </w:r>
    </w:p>
    <w:p>
      <w:pPr>
        <w:widowControl/>
        <w:adjustRightInd w:val="0"/>
        <w:snapToGrid w:val="0"/>
        <w:spacing w:line="240" w:lineRule="auto"/>
        <w:ind w:firstLineChars="0" w:firstLine="0"/>
        <w:jc w:val="left"/>
        <w:rPr>
          <w:sz w:val="28"/>
          <w:szCs w:val="28"/>
        </w:rPr>
      </w:pPr>
      <w:r>
        <w:rPr>
          <w:b/>
          <w:bCs/>
          <w:sz w:val="28"/>
          <w:szCs w:val="28"/>
        </w:rPr>
        <w:t>Q：请简单介绍一下</w:t>
      </w:r>
      <w:r>
        <w:rPr>
          <w:rFonts w:hint="eastAsia"/>
          <w:b/>
          <w:bCs/>
          <w:sz w:val="28"/>
          <w:szCs w:val="28"/>
        </w:rPr>
        <w:t>您的</w:t>
      </w:r>
      <w:r>
        <w:rPr>
          <w:b/>
          <w:bCs/>
          <w:sz w:val="28"/>
          <w:szCs w:val="28"/>
        </w:rPr>
        <w:t>个人简历与从业经历。</w:t>
      </w:r>
    </w:p>
    <w:p>
      <w:pPr>
        <w:widowControl/>
        <w:adjustRightInd w:val="0"/>
        <w:snapToGrid w:val="0"/>
        <w:spacing w:line="240" w:lineRule="auto"/>
        <w:ind w:firstLineChars="0" w:firstLine="0"/>
        <w:jc w:val="left"/>
        <w:rPr>
          <w:sz w:val="28"/>
          <w:szCs w:val="28"/>
        </w:rPr>
      </w:pPr>
      <w:r>
        <w:rPr>
          <w:sz w:val="28"/>
          <w:szCs w:val="28"/>
        </w:rPr>
        <w:t>A：</w:t>
      </w:r>
      <w:r>
        <w:rPr>
          <w:rFonts w:hint="eastAsia"/>
          <w:sz w:val="28"/>
          <w:szCs w:val="28"/>
        </w:rPr>
        <w:t>我是</w:t>
      </w:r>
      <w:r>
        <w:rPr>
          <w:sz w:val="28"/>
          <w:szCs w:val="28"/>
        </w:rPr>
        <w:t>哈尔滨工业大学</w:t>
      </w:r>
      <w:r>
        <w:rPr>
          <w:rFonts w:hint="eastAsia"/>
          <w:sz w:val="28"/>
          <w:szCs w:val="28"/>
        </w:rPr>
        <w:t>硕士</w:t>
      </w:r>
      <w:r>
        <w:rPr>
          <w:sz w:val="28"/>
          <w:szCs w:val="28"/>
        </w:rPr>
        <w:t>毕业，主修管理科学工程，方向为城市规划与房地产。毕业后先后任职于中国建筑、中冶集团，在中冶任职期间结识公司董事长王嘉诚，同时拥有两年多科技成果转化从业经验，借此切入半导体领域。</w:t>
      </w:r>
    </w:p>
    <w:p>
      <w:pPr>
        <w:widowControl/>
        <w:adjustRightInd w:val="0"/>
        <w:snapToGrid w:val="0"/>
        <w:spacing w:line="240" w:lineRule="auto"/>
        <w:ind w:firstLineChars="0" w:firstLine="0"/>
        <w:jc w:val="left"/>
        <w:rPr>
          <w:sz w:val="28"/>
          <w:szCs w:val="28"/>
        </w:rPr>
      </w:pPr>
      <w:r>
        <w:rPr>
          <w:b/>
          <w:bCs/>
          <w:sz w:val="28"/>
          <w:szCs w:val="28"/>
        </w:rPr>
        <w:t>Q：请介绍</w:t>
      </w:r>
      <w:r>
        <w:rPr>
          <w:rFonts w:hint="eastAsia"/>
          <w:b/>
          <w:bCs/>
          <w:sz w:val="28"/>
          <w:szCs w:val="28"/>
        </w:rPr>
        <w:t>您</w:t>
      </w:r>
      <w:r>
        <w:rPr>
          <w:b/>
          <w:bCs/>
          <w:sz w:val="28"/>
          <w:szCs w:val="28"/>
        </w:rPr>
        <w:t>参与公司筹建的相关经历。</w:t>
      </w:r>
    </w:p>
    <w:p>
      <w:pPr>
        <w:widowControl/>
        <w:adjustRightInd w:val="0"/>
        <w:snapToGrid w:val="0"/>
        <w:spacing w:line="240" w:lineRule="auto"/>
        <w:ind w:firstLineChars="0" w:firstLine="0"/>
        <w:jc w:val="left"/>
        <w:rPr>
          <w:sz w:val="28"/>
          <w:szCs w:val="28"/>
        </w:rPr>
      </w:pPr>
      <w:r>
        <w:rPr>
          <w:sz w:val="28"/>
          <w:szCs w:val="28"/>
        </w:rPr>
        <w:t>A：2016年项目启动后，</w:t>
      </w:r>
      <w:r>
        <w:rPr>
          <w:rFonts w:hint="eastAsia"/>
          <w:sz w:val="28"/>
          <w:szCs w:val="28"/>
        </w:rPr>
        <w:t>我</w:t>
      </w:r>
      <w:r>
        <w:rPr>
          <w:sz w:val="28"/>
          <w:szCs w:val="28"/>
        </w:rPr>
        <w:t>参与公司筹建研讨，研判项目可行性与市场环境，2017年王嘉诚董事长完成离任审计后正式</w:t>
      </w:r>
      <w:r>
        <w:rPr>
          <w:rFonts w:hint="eastAsia"/>
          <w:sz w:val="28"/>
          <w:szCs w:val="28"/>
        </w:rPr>
        <w:t>创建中诚华隆公司</w:t>
      </w:r>
      <w:r>
        <w:rPr>
          <w:sz w:val="28"/>
          <w:szCs w:val="28"/>
        </w:rPr>
        <w:t>，创始团队还包含IBM、</w:t>
      </w:r>
      <w:r>
        <w:rPr>
          <w:rFonts w:hint="eastAsia"/>
          <w:sz w:val="28"/>
          <w:szCs w:val="28"/>
        </w:rPr>
        <w:t>科</w:t>
      </w:r>
      <w:r>
        <w:rPr>
          <w:sz w:val="28"/>
          <w:szCs w:val="28"/>
        </w:rPr>
        <w:t>雷</w:t>
      </w:r>
      <w:r>
        <w:rPr>
          <w:rFonts w:hint="eastAsia"/>
          <w:sz w:val="28"/>
          <w:szCs w:val="28"/>
        </w:rPr>
        <w:t>等</w:t>
      </w:r>
      <w:r>
        <w:rPr>
          <w:sz w:val="28"/>
          <w:szCs w:val="28"/>
        </w:rPr>
        <w:t>资深人员。</w:t>
      </w:r>
    </w:p>
    <w:p>
      <w:pPr>
        <w:widowControl/>
        <w:adjustRightInd w:val="0"/>
        <w:snapToGrid w:val="0"/>
        <w:spacing w:line="240" w:lineRule="auto"/>
        <w:ind w:firstLineChars="0" w:firstLine="0"/>
        <w:jc w:val="left"/>
        <w:rPr>
          <w:sz w:val="28"/>
          <w:szCs w:val="28"/>
        </w:rPr>
      </w:pPr>
      <w:r>
        <w:rPr>
          <w:b/>
          <w:bCs/>
          <w:sz w:val="28"/>
          <w:szCs w:val="28"/>
        </w:rPr>
        <w:t>Q：王嘉诚董事长此前在中冶集团担任什么职位？</w:t>
      </w:r>
    </w:p>
    <w:p>
      <w:pPr>
        <w:widowControl/>
        <w:adjustRightInd w:val="0"/>
        <w:snapToGrid w:val="0"/>
        <w:spacing w:line="240" w:lineRule="auto"/>
        <w:ind w:firstLineChars="0" w:firstLine="0"/>
        <w:jc w:val="left"/>
        <w:rPr>
          <w:sz w:val="28"/>
          <w:szCs w:val="28"/>
        </w:rPr>
      </w:pPr>
      <w:r>
        <w:rPr>
          <w:sz w:val="28"/>
          <w:szCs w:val="28"/>
        </w:rPr>
        <w:t>A：王嘉诚董事长受</w:t>
      </w:r>
      <w:r>
        <w:rPr>
          <w:rFonts w:hint="eastAsia"/>
          <w:sz w:val="28"/>
          <w:szCs w:val="28"/>
        </w:rPr>
        <w:t>中共中央组织部</w:t>
      </w:r>
      <w:r>
        <w:rPr>
          <w:sz w:val="28"/>
          <w:szCs w:val="28"/>
        </w:rPr>
        <w:t>委派，牵头筹建中冶资产管理有限公司，并担任总经理一职。</w:t>
      </w:r>
    </w:p>
    <w:p>
      <w:pPr>
        <w:widowControl/>
        <w:adjustRightInd w:val="0"/>
        <w:snapToGrid w:val="0"/>
        <w:spacing w:line="240" w:lineRule="auto"/>
        <w:ind w:firstLineChars="0" w:firstLine="0"/>
        <w:jc w:val="left"/>
        <w:rPr>
          <w:sz w:val="28"/>
          <w:szCs w:val="28"/>
        </w:rPr>
      </w:pPr>
      <w:r>
        <w:rPr>
          <w:b/>
          <w:bCs/>
          <w:sz w:val="28"/>
          <w:szCs w:val="28"/>
        </w:rPr>
        <w:t>Q：中冶资产管理公司是否以投资业务为主？</w:t>
      </w:r>
    </w:p>
    <w:p>
      <w:pPr>
        <w:widowControl/>
        <w:adjustRightInd w:val="0"/>
        <w:snapToGrid w:val="0"/>
        <w:spacing w:line="240" w:lineRule="auto"/>
        <w:ind w:firstLineChars="0" w:firstLine="0"/>
        <w:jc w:val="left"/>
        <w:rPr>
          <w:sz w:val="28"/>
          <w:szCs w:val="28"/>
        </w:rPr>
      </w:pPr>
      <w:r>
        <w:rPr>
          <w:sz w:val="28"/>
          <w:szCs w:val="28"/>
        </w:rPr>
        <w:t>A：该公司并非纯投资平台，核心是整合承接中冶集团全部非上市资产，涵盖设计院、医院、出租车公司、物业等业态，下辖两百余家公司、两万七千余名员工，业务覆盖资产管理、投资、综合运营等多个板块。</w:t>
      </w:r>
    </w:p>
    <w:p>
      <w:pPr>
        <w:widowControl/>
        <w:adjustRightInd w:val="0"/>
        <w:snapToGrid w:val="0"/>
        <w:spacing w:line="240" w:lineRule="auto"/>
        <w:ind w:firstLineChars="0" w:firstLine="0"/>
        <w:jc w:val="left"/>
        <w:rPr>
          <w:sz w:val="28"/>
          <w:szCs w:val="28"/>
        </w:rPr>
      </w:pPr>
      <w:r>
        <w:rPr>
          <w:b/>
          <w:bCs/>
          <w:sz w:val="28"/>
          <w:szCs w:val="28"/>
        </w:rPr>
        <w:t>Q：请介绍王嘉诚董事长的学历与早期从业经历。</w:t>
      </w:r>
    </w:p>
    <w:p>
      <w:pPr>
        <w:widowControl/>
        <w:adjustRightInd w:val="0"/>
        <w:snapToGrid w:val="0"/>
        <w:spacing w:line="240" w:lineRule="auto"/>
        <w:ind w:firstLineChars="0" w:firstLine="0"/>
        <w:jc w:val="left"/>
        <w:rPr>
          <w:sz w:val="28"/>
          <w:szCs w:val="28"/>
        </w:rPr>
      </w:pPr>
      <w:r>
        <w:rPr>
          <w:sz w:val="28"/>
          <w:szCs w:val="28"/>
        </w:rPr>
        <w:t>A：王嘉诚董事长为哈工大本硕博学历，博士阶段由哈工大与北大联合培养。哈工大阶段主攻数学、人工智能、神经网络方向，北大阶段深耕金融领域，博士课题围绕创业板制度政策研究展开，曾参与专项汇报工作。毕业后曾在证监会发行部工作一年多。</w:t>
      </w:r>
    </w:p>
    <w:p>
      <w:pPr>
        <w:widowControl/>
        <w:adjustRightInd w:val="0"/>
        <w:snapToGrid w:val="0"/>
        <w:spacing w:line="240" w:lineRule="auto"/>
        <w:ind w:firstLineChars="0" w:firstLine="0"/>
        <w:jc w:val="left"/>
        <w:rPr>
          <w:sz w:val="28"/>
          <w:szCs w:val="28"/>
        </w:rPr>
      </w:pPr>
      <w:r>
        <w:rPr>
          <w:b/>
          <w:bCs/>
          <w:sz w:val="28"/>
          <w:szCs w:val="28"/>
        </w:rPr>
        <w:t>Q：请介绍王嘉诚董事长在神华集团及上市相关工作经历。</w:t>
      </w:r>
    </w:p>
    <w:p>
      <w:pPr>
        <w:widowControl/>
        <w:adjustRightInd w:val="0"/>
        <w:snapToGrid w:val="0"/>
        <w:spacing w:line="240" w:lineRule="auto"/>
        <w:ind w:firstLineChars="0" w:firstLine="0"/>
        <w:jc w:val="left"/>
        <w:rPr>
          <w:sz w:val="28"/>
          <w:szCs w:val="28"/>
        </w:rPr>
      </w:pPr>
      <w:r>
        <w:rPr>
          <w:sz w:val="28"/>
          <w:szCs w:val="28"/>
        </w:rPr>
        <w:t>A：王嘉诚董事长经中央人才引进入职神华集团，历任财务总监、神府东胜煤矿矿长，管理十万余名员工。2003年被调回负责神华整体上市工作，担任上市办副主任，2005年主导完成神华A+H股上市，单笔融资1000亿元，为当年全球最大融资案例。</w:t>
      </w:r>
    </w:p>
    <w:p>
      <w:pPr>
        <w:widowControl/>
        <w:adjustRightInd w:val="0"/>
        <w:snapToGrid w:val="0"/>
        <w:spacing w:line="240" w:lineRule="auto"/>
        <w:ind w:firstLineChars="0" w:firstLine="0"/>
        <w:jc w:val="left"/>
        <w:rPr>
          <w:sz w:val="28"/>
          <w:szCs w:val="28"/>
        </w:rPr>
      </w:pPr>
      <w:r>
        <w:rPr>
          <w:b/>
          <w:bCs/>
          <w:sz w:val="28"/>
          <w:szCs w:val="28"/>
        </w:rPr>
        <w:t>Q：请介绍王嘉诚董事长后期任职及牵头项目的相关情况。</w:t>
      </w:r>
    </w:p>
    <w:p>
      <w:pPr>
        <w:widowControl/>
        <w:adjustRightInd w:val="0"/>
        <w:snapToGrid w:val="0"/>
        <w:spacing w:line="240" w:lineRule="auto"/>
        <w:ind w:firstLineChars="0" w:firstLine="0"/>
        <w:jc w:val="left"/>
        <w:rPr>
          <w:sz w:val="28"/>
          <w:szCs w:val="28"/>
        </w:rPr>
      </w:pPr>
      <w:r>
        <w:rPr>
          <w:sz w:val="28"/>
          <w:szCs w:val="28"/>
        </w:rPr>
        <w:t>A：神华上市后，其经提拔为副厅调任国务院国资委，负责管理百家央企董事会，统筹央企上市、并购重组审批工作，任职三年多后晋升正厅，牵头筹建中冶资产管理公司。2016年底受国家指派，牵头推进申威技术产业化项目，公司虽形式为民营企业，核心业务仍需向军方、国资委汇报。</w:t>
      </w:r>
    </w:p>
    <w:p>
      <w:pPr>
        <w:widowControl/>
        <w:adjustRightInd w:val="0"/>
        <w:snapToGrid w:val="0"/>
        <w:spacing w:line="240" w:lineRule="auto"/>
        <w:ind w:firstLineChars="0" w:firstLine="0"/>
        <w:jc w:val="left"/>
        <w:rPr>
          <w:sz w:val="28"/>
          <w:szCs w:val="28"/>
        </w:rPr>
      </w:pPr>
      <w:r>
        <w:rPr>
          <w:b/>
          <w:bCs/>
          <w:sz w:val="28"/>
          <w:szCs w:val="28"/>
        </w:rPr>
        <w:t>Q：请介绍公司销售部门的组织架构与人员配置情况。</w:t>
      </w:r>
    </w:p>
    <w:p>
      <w:pPr>
        <w:widowControl/>
        <w:adjustRightInd w:val="0"/>
        <w:snapToGrid w:val="0"/>
        <w:spacing w:line="240" w:lineRule="auto"/>
        <w:ind w:firstLineChars="0" w:firstLine="0"/>
        <w:jc w:val="left"/>
        <w:rPr>
          <w:sz w:val="28"/>
          <w:szCs w:val="28"/>
        </w:rPr>
      </w:pPr>
      <w:r>
        <w:rPr>
          <w:sz w:val="28"/>
          <w:szCs w:val="28"/>
        </w:rPr>
        <w:t>A：公司2024年才启动市场化销售，团队搭建较晚、规模偏小。销售、市场、运营、售后运维等所有一线及配套岗位合计仅12人。</w:t>
      </w:r>
    </w:p>
    <w:p>
      <w:pPr>
        <w:widowControl/>
        <w:adjustRightInd w:val="0"/>
        <w:snapToGrid w:val="0"/>
        <w:spacing w:line="240" w:lineRule="auto"/>
        <w:ind w:firstLineChars="0" w:firstLine="0"/>
        <w:jc w:val="left"/>
        <w:rPr>
          <w:sz w:val="28"/>
          <w:szCs w:val="28"/>
        </w:rPr>
      </w:pPr>
      <w:r>
        <w:rPr>
          <w:b/>
          <w:bCs/>
          <w:sz w:val="28"/>
          <w:szCs w:val="28"/>
        </w:rPr>
        <w:t>Q：</w:t>
      </w:r>
      <w:r>
        <w:rPr>
          <w:rFonts w:hint="eastAsia"/>
          <w:b/>
          <w:bCs/>
          <w:sz w:val="28"/>
          <w:szCs w:val="28"/>
        </w:rPr>
        <w:t>您</w:t>
      </w:r>
      <w:r>
        <w:rPr>
          <w:b/>
          <w:bCs/>
          <w:sz w:val="28"/>
          <w:szCs w:val="28"/>
        </w:rPr>
        <w:t>的具体职位与工作职责是什么？</w:t>
      </w:r>
    </w:p>
    <w:p>
      <w:pPr>
        <w:widowControl/>
        <w:adjustRightInd w:val="0"/>
        <w:snapToGrid w:val="0"/>
        <w:spacing w:line="240" w:lineRule="auto"/>
        <w:ind w:firstLineChars="0" w:firstLine="0"/>
        <w:jc w:val="left"/>
        <w:rPr>
          <w:sz w:val="28"/>
          <w:szCs w:val="28"/>
        </w:rPr>
      </w:pPr>
      <w:r>
        <w:rPr>
          <w:sz w:val="28"/>
          <w:szCs w:val="28"/>
        </w:rPr>
        <w:t>A：</w:t>
      </w:r>
      <w:r>
        <w:rPr>
          <w:rFonts w:hint="eastAsia"/>
          <w:sz w:val="28"/>
          <w:szCs w:val="28"/>
        </w:rPr>
        <w:t>我</w:t>
      </w:r>
      <w:r>
        <w:rPr>
          <w:sz w:val="28"/>
          <w:szCs w:val="28"/>
        </w:rPr>
        <w:t>主要负责公司整体营销销售业务，同时兼任总裁办主任，统筹公司各部门日常协调对接工作。</w:t>
      </w:r>
    </w:p>
    <w:p>
      <w:pPr>
        <w:widowControl/>
        <w:adjustRightInd w:val="0"/>
        <w:snapToGrid w:val="0"/>
        <w:spacing w:line="240" w:lineRule="auto"/>
        <w:ind w:firstLineChars="0" w:firstLine="0"/>
        <w:jc w:val="left"/>
        <w:rPr>
          <w:sz w:val="28"/>
          <w:szCs w:val="28"/>
        </w:rPr>
      </w:pPr>
      <w:r>
        <w:rPr>
          <w:b/>
          <w:bCs/>
          <w:sz w:val="28"/>
          <w:szCs w:val="28"/>
        </w:rPr>
        <w:t>Q：公司HL100型号GPU芯片是否于202</w:t>
      </w:r>
      <w:r>
        <w:rPr>
          <w:rFonts w:hint="eastAsia"/>
          <w:b/>
          <w:bCs/>
          <w:sz w:val="28"/>
          <w:szCs w:val="28"/>
        </w:rPr>
        <w:t>5</w:t>
      </w:r>
      <w:r>
        <w:rPr>
          <w:b/>
          <w:bCs/>
          <w:sz w:val="28"/>
          <w:szCs w:val="28"/>
        </w:rPr>
        <w:t>年11月正式实现销售？</w:t>
      </w:r>
    </w:p>
    <w:p>
      <w:pPr>
        <w:widowControl/>
        <w:adjustRightInd w:val="0"/>
        <w:snapToGrid w:val="0"/>
        <w:spacing w:line="240" w:lineRule="auto"/>
        <w:ind w:firstLineChars="0" w:firstLine="0"/>
        <w:jc w:val="left"/>
        <w:rPr>
          <w:sz w:val="28"/>
          <w:szCs w:val="28"/>
        </w:rPr>
      </w:pPr>
      <w:r>
        <w:rPr>
          <w:sz w:val="28"/>
          <w:szCs w:val="28"/>
        </w:rPr>
        <w:t>A：HL100推理GPU芯片于202</w:t>
      </w:r>
      <w:r>
        <w:rPr>
          <w:rFonts w:hint="eastAsia"/>
          <w:sz w:val="28"/>
          <w:szCs w:val="28"/>
        </w:rPr>
        <w:t>5</w:t>
      </w:r>
      <w:r>
        <w:rPr>
          <w:sz w:val="28"/>
          <w:szCs w:val="28"/>
        </w:rPr>
        <w:t>年11月19日正式发布，实际销售收入在2025年确认，全年GPU卡对应确认收入500余万元，2025年其余营收均来自整机产品销售。</w:t>
      </w:r>
    </w:p>
    <w:p>
      <w:pPr>
        <w:widowControl/>
        <w:adjustRightInd w:val="0"/>
        <w:snapToGrid w:val="0"/>
        <w:spacing w:line="240" w:lineRule="auto"/>
        <w:ind w:firstLineChars="0" w:firstLine="0"/>
        <w:jc w:val="left"/>
        <w:rPr>
          <w:sz w:val="28"/>
          <w:szCs w:val="28"/>
        </w:rPr>
      </w:pPr>
      <w:r>
        <w:rPr>
          <w:b/>
          <w:bCs/>
          <w:sz w:val="28"/>
          <w:szCs w:val="28"/>
        </w:rPr>
        <w:t>Q：2025年四千余万元整机收入的产品，是否搭载自研GPU？</w:t>
      </w:r>
    </w:p>
    <w:p>
      <w:pPr>
        <w:widowControl/>
        <w:adjustRightInd w:val="0"/>
        <w:snapToGrid w:val="0"/>
        <w:spacing w:line="240" w:lineRule="auto"/>
        <w:ind w:firstLineChars="0" w:firstLine="0"/>
        <w:jc w:val="left"/>
        <w:rPr>
          <w:sz w:val="28"/>
          <w:szCs w:val="28"/>
        </w:rPr>
      </w:pPr>
      <w:r>
        <w:rPr>
          <w:sz w:val="28"/>
          <w:szCs w:val="28"/>
        </w:rPr>
        <w:t>A：2025年整机销售中，仅有9台设备搭载自研HL100芯片，产生少量GPU相关收入。三四千万的主流整机收入，均来自未搭载自研GPU的通用服务器产品。</w:t>
      </w:r>
    </w:p>
    <w:p>
      <w:pPr>
        <w:widowControl/>
        <w:adjustRightInd w:val="0"/>
        <w:snapToGrid w:val="0"/>
        <w:spacing w:line="240" w:lineRule="auto"/>
        <w:ind w:firstLineChars="0" w:firstLine="0"/>
        <w:jc w:val="left"/>
        <w:rPr>
          <w:sz w:val="28"/>
          <w:szCs w:val="28"/>
        </w:rPr>
      </w:pPr>
      <w:r>
        <w:rPr>
          <w:b/>
          <w:bCs/>
          <w:sz w:val="28"/>
          <w:szCs w:val="28"/>
        </w:rPr>
        <w:t>Q：通用服务器是否为采购外部零部件组装后销售？</w:t>
      </w:r>
    </w:p>
    <w:p>
      <w:pPr>
        <w:widowControl/>
        <w:adjustRightInd w:val="0"/>
        <w:snapToGrid w:val="0"/>
        <w:spacing w:line="240" w:lineRule="auto"/>
        <w:ind w:firstLineChars="0" w:firstLine="0"/>
        <w:jc w:val="left"/>
        <w:rPr>
          <w:sz w:val="28"/>
          <w:szCs w:val="28"/>
        </w:rPr>
      </w:pPr>
      <w:r>
        <w:rPr>
          <w:sz w:val="28"/>
          <w:szCs w:val="28"/>
        </w:rPr>
        <w:t>A：公司通用服务器为自主研发整机，具备完整自研体系，并非简单采购外部零部件组装而成，且通用服务器版本无外接GPU配置。公司2018至2023年已搭建成熟的整机研发团队与技术体系。</w:t>
      </w:r>
    </w:p>
    <w:p>
      <w:pPr>
        <w:widowControl/>
        <w:adjustRightInd w:val="0"/>
        <w:snapToGrid w:val="0"/>
        <w:spacing w:line="240" w:lineRule="auto"/>
        <w:ind w:firstLineChars="0" w:firstLine="0"/>
        <w:jc w:val="left"/>
        <w:rPr>
          <w:sz w:val="28"/>
          <w:szCs w:val="28"/>
        </w:rPr>
      </w:pPr>
      <w:r>
        <w:rPr>
          <w:b/>
          <w:bCs/>
          <w:sz w:val="28"/>
          <w:szCs w:val="28"/>
        </w:rPr>
        <w:t>Q：目前自研整机搭载的CPU是否为公司自研产品？</w:t>
      </w:r>
    </w:p>
    <w:p>
      <w:pPr>
        <w:widowControl/>
        <w:adjustRightInd w:val="0"/>
        <w:snapToGrid w:val="0"/>
        <w:spacing w:line="240" w:lineRule="auto"/>
        <w:ind w:firstLineChars="0" w:firstLine="0"/>
        <w:jc w:val="left"/>
        <w:rPr>
          <w:sz w:val="28"/>
          <w:szCs w:val="28"/>
        </w:rPr>
      </w:pPr>
      <w:r>
        <w:rPr>
          <w:sz w:val="28"/>
          <w:szCs w:val="28"/>
        </w:rPr>
        <w:t>A：当前在售整机搭载的CPU为军方授权的申威芯片，并非公司自研产品。该军用芯片适配民用场景存在短板，存在能耗高、成本高、指令集冗余过多等问题，无法直接适配民用市场需求。</w:t>
      </w:r>
    </w:p>
    <w:p>
      <w:pPr>
        <w:widowControl/>
        <w:adjustRightInd w:val="0"/>
        <w:snapToGrid w:val="0"/>
        <w:spacing w:line="240" w:lineRule="auto"/>
        <w:ind w:firstLineChars="0" w:firstLine="0"/>
        <w:jc w:val="left"/>
        <w:rPr>
          <w:sz w:val="28"/>
          <w:szCs w:val="28"/>
        </w:rPr>
      </w:pPr>
      <w:r>
        <w:rPr>
          <w:b/>
          <w:bCs/>
          <w:sz w:val="28"/>
          <w:szCs w:val="28"/>
        </w:rPr>
        <w:t>Q：请介绍公司自研民用CPU的研发进度与产品定义依据。</w:t>
      </w:r>
    </w:p>
    <w:p>
      <w:pPr>
        <w:widowControl/>
        <w:adjustRightInd w:val="0"/>
        <w:snapToGrid w:val="0"/>
        <w:spacing w:line="240" w:lineRule="auto"/>
        <w:ind w:firstLineChars="0" w:firstLine="0"/>
        <w:jc w:val="left"/>
        <w:rPr>
          <w:sz w:val="28"/>
          <w:szCs w:val="28"/>
        </w:rPr>
      </w:pPr>
      <w:r>
        <w:rPr>
          <w:sz w:val="28"/>
          <w:szCs w:val="28"/>
        </w:rPr>
        <w:t>A：公司结合中国移动、国家电网、建设银行三大核心民用客户的需求，完成了民用CPU产品定义，202</w:t>
      </w:r>
      <w:r>
        <w:rPr>
          <w:rFonts w:hint="eastAsia"/>
          <w:sz w:val="28"/>
          <w:szCs w:val="28"/>
        </w:rPr>
        <w:t>5</w:t>
      </w:r>
      <w:r>
        <w:rPr>
          <w:sz w:val="28"/>
          <w:szCs w:val="28"/>
        </w:rPr>
        <w:t>年底正式立项启动研发，目前处于架构设计阶段，计划基于申威指令集联合研发，针对性优化适配民用市场场景。</w:t>
      </w:r>
    </w:p>
    <w:p>
      <w:pPr>
        <w:widowControl/>
        <w:adjustRightInd w:val="0"/>
        <w:snapToGrid w:val="0"/>
        <w:spacing w:line="240" w:lineRule="auto"/>
        <w:ind w:firstLineChars="0" w:firstLine="0"/>
        <w:jc w:val="left"/>
        <w:rPr>
          <w:sz w:val="28"/>
          <w:szCs w:val="28"/>
        </w:rPr>
      </w:pPr>
      <w:r>
        <w:rPr>
          <w:b/>
          <w:bCs/>
          <w:sz w:val="28"/>
          <w:szCs w:val="28"/>
        </w:rPr>
        <w:t>Q：公司使用申威指令集的授权费用标准是什么？</w:t>
      </w:r>
    </w:p>
    <w:p>
      <w:pPr>
        <w:widowControl/>
        <w:adjustRightInd w:val="0"/>
        <w:snapToGrid w:val="0"/>
        <w:spacing w:line="240" w:lineRule="auto"/>
        <w:ind w:firstLineChars="0" w:firstLine="0"/>
        <w:jc w:val="left"/>
        <w:rPr>
          <w:sz w:val="28"/>
          <w:szCs w:val="28"/>
        </w:rPr>
      </w:pPr>
      <w:r>
        <w:rPr>
          <w:sz w:val="28"/>
          <w:szCs w:val="28"/>
        </w:rPr>
        <w:t>A：公司2022年与申威签订指令集授权协议，2022至2027年为免费授权使用周期。2027年后保底收费标准为3000万元一次性授权费+产品销售收入2%的版税，模式与ARM、X86行业授权规则一致。</w:t>
      </w:r>
    </w:p>
    <w:p>
      <w:pPr>
        <w:widowControl/>
        <w:adjustRightInd w:val="0"/>
        <w:snapToGrid w:val="0"/>
        <w:spacing w:line="240" w:lineRule="auto"/>
        <w:ind w:firstLineChars="0" w:firstLine="0"/>
        <w:jc w:val="left"/>
        <w:rPr>
          <w:sz w:val="28"/>
          <w:szCs w:val="28"/>
        </w:rPr>
      </w:pPr>
      <w:r>
        <w:rPr>
          <w:b/>
          <w:bCs/>
          <w:sz w:val="28"/>
          <w:szCs w:val="28"/>
        </w:rPr>
        <w:t>Q：公司与申威是否有更优化的合作方案规划？</w:t>
      </w:r>
    </w:p>
    <w:p>
      <w:pPr>
        <w:widowControl/>
        <w:adjustRightInd w:val="0"/>
        <w:snapToGrid w:val="0"/>
        <w:spacing w:line="240" w:lineRule="auto"/>
        <w:ind w:firstLineChars="0" w:firstLine="0"/>
        <w:jc w:val="left"/>
        <w:rPr>
          <w:sz w:val="28"/>
          <w:szCs w:val="28"/>
        </w:rPr>
      </w:pPr>
      <w:r>
        <w:rPr>
          <w:sz w:val="28"/>
          <w:szCs w:val="28"/>
        </w:rPr>
        <w:t>A：公司正与申威洽谈联合研发IP的合作模式，由公司全额承担IP研发费用，研发成果分工落地，申威负责军用、公司独家负责民用产业化。该方案仍在洽谈中，原有3000万加2%版税模式为保底方案。</w:t>
      </w:r>
    </w:p>
    <w:p>
      <w:pPr>
        <w:widowControl/>
        <w:adjustRightInd w:val="0"/>
        <w:snapToGrid w:val="0"/>
        <w:spacing w:line="240" w:lineRule="auto"/>
        <w:ind w:firstLineChars="0" w:firstLine="0"/>
        <w:jc w:val="left"/>
        <w:rPr>
          <w:sz w:val="28"/>
          <w:szCs w:val="28"/>
        </w:rPr>
      </w:pPr>
      <w:r>
        <w:rPr>
          <w:b/>
          <w:bCs/>
          <w:sz w:val="28"/>
          <w:szCs w:val="28"/>
        </w:rPr>
        <w:t>Q：2%版税的计费基数是否为产品销售收入？</w:t>
      </w:r>
    </w:p>
    <w:p>
      <w:pPr>
        <w:widowControl/>
        <w:adjustRightInd w:val="0"/>
        <w:snapToGrid w:val="0"/>
        <w:spacing w:line="240" w:lineRule="auto"/>
        <w:ind w:firstLineChars="0" w:firstLine="0"/>
        <w:jc w:val="left"/>
        <w:rPr>
          <w:sz w:val="28"/>
          <w:szCs w:val="28"/>
        </w:rPr>
      </w:pPr>
      <w:r>
        <w:rPr>
          <w:sz w:val="28"/>
          <w:szCs w:val="28"/>
        </w:rPr>
        <w:t>A：版税计费基数为单台产品销售收入，按照单台产品最终售价的2%计提缴纳。例如单台芯片售价1万元，需缴纳200元版税。</w:t>
      </w:r>
    </w:p>
    <w:p>
      <w:pPr>
        <w:widowControl/>
        <w:adjustRightInd w:val="0"/>
        <w:snapToGrid w:val="0"/>
        <w:spacing w:line="240" w:lineRule="auto"/>
        <w:ind w:firstLineChars="0" w:firstLine="0"/>
        <w:jc w:val="left"/>
        <w:rPr>
          <w:sz w:val="28"/>
          <w:szCs w:val="28"/>
        </w:rPr>
      </w:pPr>
      <w:r>
        <w:rPr>
          <w:b/>
          <w:bCs/>
          <w:sz w:val="28"/>
          <w:szCs w:val="28"/>
        </w:rPr>
        <w:t>Q：2026年6.5亿元在手订单的核心客户及对应订单金额分别是多少？</w:t>
      </w:r>
    </w:p>
    <w:p>
      <w:pPr>
        <w:widowControl/>
        <w:adjustRightInd w:val="0"/>
        <w:snapToGrid w:val="0"/>
        <w:spacing w:line="240" w:lineRule="auto"/>
        <w:ind w:firstLineChars="0" w:firstLine="0"/>
        <w:jc w:val="left"/>
        <w:rPr>
          <w:sz w:val="28"/>
          <w:szCs w:val="28"/>
        </w:rPr>
      </w:pPr>
      <w:r>
        <w:rPr>
          <w:sz w:val="28"/>
          <w:szCs w:val="28"/>
        </w:rPr>
        <w:t>A：当前6.5亿元在手签约订单明细如下：光</w:t>
      </w:r>
      <w:r>
        <w:rPr>
          <w:rFonts w:hint="eastAsia"/>
          <w:sz w:val="28"/>
          <w:szCs w:val="28"/>
        </w:rPr>
        <w:t>环</w:t>
      </w:r>
      <w:r>
        <w:rPr>
          <w:sz w:val="28"/>
          <w:szCs w:val="28"/>
        </w:rPr>
        <w:t>云3.1亿元、格安</w:t>
      </w:r>
      <w:r>
        <w:rPr>
          <w:rFonts w:hint="eastAsia"/>
          <w:sz w:val="28"/>
          <w:szCs w:val="28"/>
        </w:rPr>
        <w:t>（格力旗下）</w:t>
      </w:r>
      <w:r>
        <w:rPr>
          <w:sz w:val="28"/>
          <w:szCs w:val="28"/>
        </w:rPr>
        <w:t>两笔订单合计2.86亿元、中国移动集采预估5000万元、飞拓6000余万元。</w:t>
      </w:r>
    </w:p>
    <w:p>
      <w:pPr>
        <w:widowControl/>
        <w:adjustRightInd w:val="0"/>
        <w:snapToGrid w:val="0"/>
        <w:spacing w:line="240" w:lineRule="auto"/>
        <w:ind w:firstLineChars="0" w:firstLine="0"/>
        <w:jc w:val="left"/>
        <w:rPr>
          <w:sz w:val="28"/>
          <w:szCs w:val="28"/>
        </w:rPr>
      </w:pPr>
      <w:r>
        <w:rPr>
          <w:b/>
          <w:bCs/>
          <w:sz w:val="28"/>
          <w:szCs w:val="28"/>
        </w:rPr>
        <w:t>Q：公司目前还有哪些待落地的重点跟踪订单？</w:t>
      </w:r>
    </w:p>
    <w:p>
      <w:pPr>
        <w:widowControl/>
        <w:adjustRightInd w:val="0"/>
        <w:snapToGrid w:val="0"/>
        <w:spacing w:line="240" w:lineRule="auto"/>
        <w:ind w:firstLineChars="0" w:firstLine="0"/>
        <w:jc w:val="left"/>
        <w:rPr>
          <w:sz w:val="28"/>
          <w:szCs w:val="28"/>
        </w:rPr>
      </w:pPr>
      <w:r>
        <w:rPr>
          <w:sz w:val="28"/>
          <w:szCs w:val="28"/>
        </w:rPr>
        <w:t>A：除已签约6.5亿元订单外，公司重点跟踪多个大额项目：宜昌算力中心1.7亿元、新疆哈密项目2.6亿元、青海项目</w:t>
      </w:r>
      <w:r>
        <w:rPr>
          <w:rFonts w:hint="eastAsia"/>
          <w:sz w:val="28"/>
          <w:szCs w:val="28"/>
        </w:rPr>
        <w:t>20</w:t>
      </w:r>
      <w:r>
        <w:rPr>
          <w:sz w:val="28"/>
          <w:szCs w:val="28"/>
        </w:rPr>
        <w:t>000万元、河南郑州数据中心1.2亿元。基于上市规划，券商要求公司2026年整体在手订单突破15亿元。</w:t>
      </w:r>
    </w:p>
    <w:p>
      <w:pPr>
        <w:widowControl/>
        <w:adjustRightInd w:val="0"/>
        <w:snapToGrid w:val="0"/>
        <w:spacing w:line="240" w:lineRule="auto"/>
        <w:ind w:firstLineChars="0" w:firstLine="0"/>
        <w:jc w:val="left"/>
        <w:rPr>
          <w:sz w:val="28"/>
          <w:szCs w:val="28"/>
        </w:rPr>
      </w:pPr>
      <w:r>
        <w:rPr>
          <w:b/>
          <w:bCs/>
          <w:sz w:val="28"/>
          <w:szCs w:val="28"/>
        </w:rPr>
        <w:t>Q：6.5亿元在手订单中，GPU芯片相关订单规模大概是多少？</w:t>
      </w:r>
    </w:p>
    <w:p>
      <w:pPr>
        <w:widowControl/>
        <w:adjustRightInd w:val="0"/>
        <w:snapToGrid w:val="0"/>
        <w:spacing w:line="240" w:lineRule="auto"/>
        <w:ind w:firstLineChars="0" w:firstLine="0"/>
        <w:jc w:val="left"/>
        <w:rPr>
          <w:sz w:val="28"/>
          <w:szCs w:val="28"/>
        </w:rPr>
      </w:pPr>
      <w:r>
        <w:rPr>
          <w:sz w:val="28"/>
          <w:szCs w:val="28"/>
        </w:rPr>
        <w:t>A：6.5亿元在手订单中，GPU芯片相关业务对应的订单金额约4亿元。</w:t>
      </w:r>
    </w:p>
    <w:p>
      <w:pPr>
        <w:widowControl/>
        <w:adjustRightInd w:val="0"/>
        <w:snapToGrid w:val="0"/>
        <w:spacing w:line="240" w:lineRule="auto"/>
        <w:ind w:firstLineChars="0" w:firstLine="0"/>
        <w:jc w:val="left"/>
        <w:rPr>
          <w:sz w:val="28"/>
          <w:szCs w:val="28"/>
        </w:rPr>
      </w:pPr>
      <w:r>
        <w:rPr>
          <w:b/>
          <w:bCs/>
          <w:sz w:val="28"/>
          <w:szCs w:val="28"/>
        </w:rPr>
        <w:t>Q：6.5亿元订单的合作模式、交付形式具体如何划分？</w:t>
      </w:r>
    </w:p>
    <w:p>
      <w:pPr>
        <w:widowControl/>
        <w:adjustRightInd w:val="0"/>
        <w:snapToGrid w:val="0"/>
        <w:spacing w:line="240" w:lineRule="auto"/>
        <w:ind w:firstLineChars="0" w:firstLine="0"/>
        <w:jc w:val="left"/>
        <w:rPr>
          <w:sz w:val="28"/>
          <w:szCs w:val="28"/>
        </w:rPr>
      </w:pPr>
      <w:r>
        <w:rPr>
          <w:sz w:val="28"/>
          <w:szCs w:val="28"/>
        </w:rPr>
        <w:t>A：当前6.5亿元已签订单以整机服务器成套销售为主要交付形式，暂无纯GPU卡单独直销订单。其中青海、郑州两个项目为纯芯片卡销售模式，其余所有订单均为整机服务器成套销售。</w:t>
      </w:r>
    </w:p>
    <w:p>
      <w:pPr>
        <w:widowControl/>
        <w:adjustRightInd w:val="0"/>
        <w:snapToGrid w:val="0"/>
        <w:spacing w:line="240" w:lineRule="auto"/>
        <w:ind w:firstLineChars="0" w:firstLine="0"/>
        <w:jc w:val="left"/>
        <w:rPr>
          <w:sz w:val="28"/>
          <w:szCs w:val="28"/>
        </w:rPr>
      </w:pPr>
      <w:r>
        <w:rPr>
          <w:b/>
          <w:bCs/>
          <w:sz w:val="28"/>
          <w:szCs w:val="28"/>
        </w:rPr>
        <w:t>Q：公司整机销售的组装与交付模式是什么？</w:t>
      </w:r>
    </w:p>
    <w:p>
      <w:pPr>
        <w:widowControl/>
        <w:adjustRightInd w:val="0"/>
        <w:snapToGrid w:val="0"/>
        <w:spacing w:line="240" w:lineRule="auto"/>
        <w:ind w:firstLineChars="0" w:firstLine="0"/>
        <w:jc w:val="left"/>
        <w:rPr>
          <w:sz w:val="28"/>
          <w:szCs w:val="28"/>
        </w:rPr>
      </w:pPr>
      <w:r>
        <w:rPr>
          <w:sz w:val="28"/>
          <w:szCs w:val="28"/>
        </w:rPr>
        <w:t>A：常规订单以自研芯片搭配外部通用零部件自主组装整机交付。部分客户有指定设备要求，例如光</w:t>
      </w:r>
      <w:r>
        <w:rPr>
          <w:rFonts w:hint="eastAsia"/>
          <w:sz w:val="28"/>
          <w:szCs w:val="28"/>
        </w:rPr>
        <w:t>环</w:t>
      </w:r>
      <w:r>
        <w:rPr>
          <w:sz w:val="28"/>
          <w:szCs w:val="28"/>
        </w:rPr>
        <w:t>云6000余万元设备需采购浪潮成品服务器，搭载公司自研GPU卡交付；格力系格安项目也多指定使用浪潮X86配套服务器。</w:t>
      </w:r>
    </w:p>
    <w:p>
      <w:pPr>
        <w:widowControl/>
        <w:adjustRightInd w:val="0"/>
        <w:snapToGrid w:val="0"/>
        <w:spacing w:line="240" w:lineRule="auto"/>
        <w:ind w:firstLineChars="0" w:firstLine="0"/>
        <w:jc w:val="left"/>
        <w:rPr>
          <w:sz w:val="28"/>
          <w:szCs w:val="28"/>
        </w:rPr>
      </w:pPr>
      <w:r>
        <w:rPr>
          <w:b/>
          <w:bCs/>
          <w:sz w:val="28"/>
          <w:szCs w:val="28"/>
        </w:rPr>
        <w:t>Q：6.5亿元在手订单中，未正式签订合同的金额有多少？</w:t>
      </w:r>
    </w:p>
    <w:p>
      <w:pPr>
        <w:widowControl/>
        <w:adjustRightInd w:val="0"/>
        <w:snapToGrid w:val="0"/>
        <w:spacing w:line="240" w:lineRule="auto"/>
        <w:ind w:firstLineChars="0" w:firstLine="0"/>
        <w:jc w:val="left"/>
        <w:rPr>
          <w:sz w:val="28"/>
          <w:szCs w:val="28"/>
        </w:rPr>
      </w:pPr>
      <w:r>
        <w:rPr>
          <w:sz w:val="28"/>
          <w:szCs w:val="28"/>
        </w:rPr>
        <w:t>A：6.5亿元订单中，仅中国移动5000万元集采订单尚未正式签约，目前处于中标公示阶段，公司位列第二名，最终结果未出，其余订单均已完成签约。</w:t>
      </w:r>
    </w:p>
    <w:p>
      <w:pPr>
        <w:widowControl/>
        <w:adjustRightInd w:val="0"/>
        <w:snapToGrid w:val="0"/>
        <w:spacing w:line="240" w:lineRule="auto"/>
        <w:ind w:firstLineChars="0" w:firstLine="0"/>
        <w:jc w:val="left"/>
        <w:rPr>
          <w:sz w:val="28"/>
          <w:szCs w:val="28"/>
        </w:rPr>
      </w:pPr>
      <w:r>
        <w:rPr>
          <w:b/>
          <w:bCs/>
          <w:sz w:val="28"/>
          <w:szCs w:val="28"/>
        </w:rPr>
        <w:t>Q：未签约的中国移动订单预计何时完成合同签订？</w:t>
      </w:r>
    </w:p>
    <w:p>
      <w:pPr>
        <w:widowControl/>
        <w:adjustRightInd w:val="0"/>
        <w:snapToGrid w:val="0"/>
        <w:spacing w:line="240" w:lineRule="auto"/>
        <w:ind w:firstLineChars="0" w:firstLine="0"/>
        <w:jc w:val="left"/>
        <w:rPr>
          <w:sz w:val="28"/>
          <w:szCs w:val="28"/>
        </w:rPr>
      </w:pPr>
      <w:r>
        <w:rPr>
          <w:sz w:val="28"/>
          <w:szCs w:val="28"/>
        </w:rPr>
        <w:t>A：除中国移动订单外，其余订单均已落地签约，该笔订单需等待官方最终中标结果公示后，方可启动合同签订流程，暂无明确时间节点。</w:t>
      </w:r>
    </w:p>
    <w:p>
      <w:pPr>
        <w:widowControl/>
        <w:adjustRightInd w:val="0"/>
        <w:snapToGrid w:val="0"/>
        <w:spacing w:line="240" w:lineRule="auto"/>
        <w:ind w:firstLineChars="0" w:firstLine="0"/>
        <w:jc w:val="left"/>
        <w:rPr>
          <w:sz w:val="28"/>
          <w:szCs w:val="28"/>
        </w:rPr>
      </w:pPr>
      <w:r>
        <w:rPr>
          <w:b/>
          <w:bCs/>
          <w:sz w:val="28"/>
          <w:szCs w:val="28"/>
        </w:rPr>
        <w:t>Q：后续是否可提供在手订单相关佐证资料？</w:t>
      </w:r>
    </w:p>
    <w:p>
      <w:pPr>
        <w:widowControl/>
        <w:adjustRightInd w:val="0"/>
        <w:snapToGrid w:val="0"/>
        <w:spacing w:line="240" w:lineRule="auto"/>
        <w:ind w:firstLineChars="0" w:firstLine="0"/>
        <w:jc w:val="left"/>
        <w:rPr>
          <w:sz w:val="28"/>
          <w:szCs w:val="28"/>
        </w:rPr>
      </w:pPr>
      <w:r>
        <w:rPr>
          <w:sz w:val="28"/>
          <w:szCs w:val="28"/>
        </w:rPr>
        <w:t>A：可以提供佐证材料，因甲方禁止公开完整合同，后续会对合同敏感信息进行脱敏处理后提交。</w:t>
      </w:r>
    </w:p>
    <w:p>
      <w:pPr>
        <w:widowControl/>
        <w:adjustRightInd w:val="0"/>
        <w:snapToGrid w:val="0"/>
        <w:spacing w:line="240" w:lineRule="auto"/>
        <w:ind w:firstLineChars="0" w:firstLine="0"/>
        <w:jc w:val="left"/>
        <w:rPr>
          <w:sz w:val="28"/>
          <w:szCs w:val="28"/>
        </w:rPr>
      </w:pPr>
      <w:r>
        <w:rPr>
          <w:b/>
          <w:bCs/>
          <w:sz w:val="28"/>
          <w:szCs w:val="28"/>
        </w:rPr>
        <w:t>Q：请系统介绍公司芯片、整机产品未来的销售模式规划。</w:t>
      </w:r>
    </w:p>
    <w:p>
      <w:pPr>
        <w:widowControl/>
        <w:adjustRightInd w:val="0"/>
        <w:snapToGrid w:val="0"/>
        <w:spacing w:line="240" w:lineRule="auto"/>
        <w:ind w:firstLineChars="0" w:firstLine="0"/>
        <w:jc w:val="left"/>
        <w:rPr>
          <w:sz w:val="28"/>
          <w:szCs w:val="28"/>
        </w:rPr>
      </w:pPr>
      <w:r>
        <w:rPr>
          <w:sz w:val="28"/>
          <w:szCs w:val="28"/>
        </w:rPr>
        <w:t>A：公司销售模式按场景与客户类型差异化布局，不单纯按产品划分。算力中心场景下，整机、芯片卡全部采用直销模式，由公司直接对接客户签约。政府、央企集采类项目采用分销入围模式，中标后依托各地经销商拓展地级市终端客户，争夺终端采购订单，覆盖集采类整机、台式机、笔记本全品类。</w:t>
      </w:r>
    </w:p>
    <w:p>
      <w:pPr>
        <w:widowControl/>
        <w:adjustRightInd w:val="0"/>
        <w:snapToGrid w:val="0"/>
        <w:spacing w:line="240" w:lineRule="auto"/>
        <w:ind w:firstLineChars="0" w:firstLine="0"/>
        <w:jc w:val="left"/>
        <w:rPr>
          <w:sz w:val="28"/>
          <w:szCs w:val="28"/>
        </w:rPr>
      </w:pPr>
      <w:r>
        <w:rPr>
          <w:b/>
          <w:bCs/>
          <w:sz w:val="28"/>
          <w:szCs w:val="28"/>
        </w:rPr>
        <w:t>Q：2026年截止目前，公司实现的收入大概有多少？</w:t>
      </w:r>
    </w:p>
    <w:p>
      <w:pPr>
        <w:widowControl/>
        <w:adjustRightInd w:val="0"/>
        <w:snapToGrid w:val="0"/>
        <w:spacing w:line="240" w:lineRule="auto"/>
        <w:ind w:firstLineChars="0" w:firstLine="0"/>
        <w:jc w:val="left"/>
        <w:rPr>
          <w:sz w:val="28"/>
          <w:szCs w:val="28"/>
        </w:rPr>
      </w:pPr>
      <w:r>
        <w:rPr>
          <w:sz w:val="28"/>
          <w:szCs w:val="28"/>
        </w:rPr>
        <w:t>A：2026年截至访谈当日，公司确认收入较少，仅约1000万元。核心原因是本年度大部分订单集中在4-5月签订，产品交付节点主要集中在</w:t>
      </w:r>
      <w:r>
        <w:rPr>
          <w:rFonts w:hint="eastAsia"/>
          <w:sz w:val="28"/>
          <w:szCs w:val="28"/>
        </w:rPr>
        <w:t>下半年</w:t>
      </w:r>
      <w:r>
        <w:rPr>
          <w:sz w:val="28"/>
          <w:szCs w:val="28"/>
        </w:rPr>
        <w:t>，暂未大规模确认营收。</w:t>
      </w:r>
    </w:p>
    <w:p>
      <w:pPr>
        <w:widowControl/>
        <w:adjustRightInd w:val="0"/>
        <w:snapToGrid w:val="0"/>
        <w:spacing w:line="240" w:lineRule="auto"/>
        <w:ind w:firstLineChars="0" w:firstLine="0"/>
        <w:jc w:val="left"/>
        <w:rPr>
          <w:sz w:val="28"/>
          <w:szCs w:val="28"/>
        </w:rPr>
      </w:pPr>
      <w:r>
        <w:rPr>
          <w:b/>
          <w:bCs/>
          <w:sz w:val="28"/>
          <w:szCs w:val="28"/>
        </w:rPr>
        <w:t>Q：公司GPU芯片的代工合作模式是什么？</w:t>
      </w:r>
    </w:p>
    <w:p>
      <w:pPr>
        <w:widowControl/>
        <w:adjustRightInd w:val="0"/>
        <w:snapToGrid w:val="0"/>
        <w:spacing w:line="240" w:lineRule="auto"/>
        <w:ind w:firstLineChars="0" w:firstLine="0"/>
        <w:jc w:val="left"/>
        <w:rPr>
          <w:sz w:val="28"/>
          <w:szCs w:val="28"/>
        </w:rPr>
      </w:pPr>
      <w:r>
        <w:rPr>
          <w:sz w:val="28"/>
          <w:szCs w:val="28"/>
        </w:rPr>
        <w:t>A：公司GPU芯片</w:t>
      </w:r>
      <w:r>
        <w:rPr>
          <w:rFonts w:hint="eastAsia"/>
          <w:sz w:val="28"/>
          <w:szCs w:val="28"/>
        </w:rPr>
        <w:t>流片</w:t>
      </w:r>
      <w:r>
        <w:rPr>
          <w:sz w:val="28"/>
          <w:szCs w:val="28"/>
        </w:rPr>
        <w:t>采用代工模式，具体代工合作方属于行业保密信息，不便对外公开，属于行业内默认保密内容，业内普遍知晓。</w:t>
      </w:r>
    </w:p>
    <w:p>
      <w:pPr>
        <w:widowControl/>
        <w:adjustRightInd w:val="0"/>
        <w:snapToGrid w:val="0"/>
        <w:spacing w:line="240" w:lineRule="auto"/>
        <w:ind w:firstLineChars="0" w:firstLine="0"/>
        <w:jc w:val="left"/>
        <w:rPr>
          <w:sz w:val="28"/>
          <w:szCs w:val="28"/>
        </w:rPr>
      </w:pPr>
      <w:r>
        <w:rPr>
          <w:b/>
          <w:bCs/>
          <w:sz w:val="28"/>
          <w:szCs w:val="28"/>
        </w:rPr>
        <w:t>Q：公司GPU芯片的代工产能能否保证稳定供应？</w:t>
      </w:r>
    </w:p>
    <w:p>
      <w:pPr>
        <w:widowControl/>
        <w:adjustRightInd w:val="0"/>
        <w:snapToGrid w:val="0"/>
        <w:spacing w:line="240" w:lineRule="auto"/>
        <w:ind w:firstLineChars="0" w:firstLine="0"/>
        <w:jc w:val="left"/>
        <w:rPr>
          <w:sz w:val="28"/>
          <w:szCs w:val="28"/>
        </w:rPr>
      </w:pPr>
      <w:r>
        <w:rPr>
          <w:sz w:val="28"/>
          <w:szCs w:val="28"/>
        </w:rPr>
        <w:t>A：公司已提前布局双供应链保障产能，同步对接国内、海外代工厂，国内已敲定</w:t>
      </w:r>
      <w:r>
        <w:rPr>
          <w:rFonts w:hint="eastAsia"/>
          <w:sz w:val="28"/>
          <w:szCs w:val="28"/>
        </w:rPr>
        <w:t>两</w:t>
      </w:r>
      <w:r>
        <w:rPr>
          <w:sz w:val="28"/>
          <w:szCs w:val="28"/>
        </w:rPr>
        <w:t>家合作方。长期产能目标为年产10万张GPU卡，对应货值约100亿元，预计2028年达到产能高峰。现阶段公司</w:t>
      </w:r>
      <w:r>
        <w:rPr>
          <w:rFonts w:hint="eastAsia"/>
          <w:sz w:val="28"/>
          <w:szCs w:val="28"/>
        </w:rPr>
        <w:t>年</w:t>
      </w:r>
      <w:r>
        <w:rPr>
          <w:sz w:val="28"/>
          <w:szCs w:val="28"/>
        </w:rPr>
        <w:t>度用量仅</w:t>
      </w:r>
      <w:r>
        <w:rPr>
          <w:rFonts w:hint="eastAsia"/>
          <w:sz w:val="28"/>
          <w:szCs w:val="28"/>
        </w:rPr>
        <w:t>两</w:t>
      </w:r>
      <w:r>
        <w:rPr>
          <w:sz w:val="28"/>
          <w:szCs w:val="28"/>
        </w:rPr>
        <w:t>万颗左右，体量较小，现有产能可完全覆盖。</w:t>
      </w:r>
    </w:p>
    <w:p>
      <w:pPr>
        <w:widowControl/>
        <w:adjustRightInd w:val="0"/>
        <w:snapToGrid w:val="0"/>
        <w:spacing w:line="240" w:lineRule="auto"/>
        <w:ind w:firstLineChars="0" w:firstLine="0"/>
        <w:jc w:val="left"/>
        <w:rPr>
          <w:sz w:val="28"/>
          <w:szCs w:val="28"/>
        </w:rPr>
      </w:pPr>
      <w:r>
        <w:rPr>
          <w:b/>
          <w:bCs/>
          <w:sz w:val="28"/>
          <w:szCs w:val="28"/>
        </w:rPr>
        <w:t>Q：公司产能储备与代工交付能力具体如何？</w:t>
      </w:r>
    </w:p>
    <w:p>
      <w:pPr>
        <w:widowControl/>
        <w:adjustRightInd w:val="0"/>
        <w:snapToGrid w:val="0"/>
        <w:spacing w:line="240" w:lineRule="auto"/>
        <w:ind w:firstLineChars="0" w:firstLine="0"/>
        <w:jc w:val="left"/>
        <w:rPr>
          <w:sz w:val="28"/>
          <w:szCs w:val="28"/>
        </w:rPr>
      </w:pPr>
      <w:r>
        <w:rPr>
          <w:sz w:val="28"/>
          <w:szCs w:val="28"/>
        </w:rPr>
        <w:t>A：公司采用国内外双产线、双工艺布局，可保障产能稳定。所需</w:t>
      </w:r>
      <w:r>
        <w:rPr>
          <w:rFonts w:hint="eastAsia"/>
          <w:sz w:val="28"/>
          <w:szCs w:val="28"/>
        </w:rPr>
        <w:t>5</w:t>
      </w:r>
      <w:r>
        <w:rPr>
          <w:sz w:val="28"/>
          <w:szCs w:val="28"/>
        </w:rPr>
        <w:t>00片晶圆的产能需求，代工厂可轻松满足，产能充足、交付无压力，不存在供货缺口。</w:t>
      </w:r>
    </w:p>
    <w:p>
      <w:pPr>
        <w:widowControl/>
        <w:adjustRightInd w:val="0"/>
        <w:snapToGrid w:val="0"/>
        <w:spacing w:line="240" w:lineRule="auto"/>
        <w:ind w:firstLineChars="0" w:firstLine="0"/>
        <w:jc w:val="left"/>
        <w:rPr>
          <w:sz w:val="28"/>
          <w:szCs w:val="28"/>
        </w:rPr>
      </w:pPr>
      <w:r>
        <w:rPr>
          <w:b/>
          <w:bCs/>
          <w:sz w:val="28"/>
          <w:szCs w:val="28"/>
        </w:rPr>
        <w:t>Q：公司各代GPU芯片采用的制程工艺是多少纳米？</w:t>
      </w:r>
    </w:p>
    <w:p>
      <w:pPr>
        <w:widowControl/>
        <w:adjustRightInd w:val="0"/>
        <w:snapToGrid w:val="0"/>
        <w:spacing w:line="240" w:lineRule="auto"/>
        <w:ind w:firstLineChars="0" w:firstLine="0"/>
        <w:jc w:val="left"/>
        <w:rPr>
          <w:sz w:val="28"/>
          <w:szCs w:val="28"/>
        </w:rPr>
      </w:pPr>
      <w:r>
        <w:rPr>
          <w:sz w:val="28"/>
          <w:szCs w:val="28"/>
        </w:rPr>
        <w:t>A：公司第一代HL100 GPU采用12纳米制程。第二代HL200芯片采用双制程布局，海外产线使用6纳米工艺，国内产线使用12纳米工艺，贴合行业主流制程水平。</w:t>
      </w:r>
    </w:p>
    <w:p>
      <w:pPr>
        <w:widowControl/>
        <w:adjustRightInd w:val="0"/>
        <w:snapToGrid w:val="0"/>
        <w:spacing w:line="240" w:lineRule="auto"/>
        <w:ind w:firstLineChars="0" w:firstLine="0"/>
        <w:jc w:val="left"/>
        <w:rPr>
          <w:sz w:val="28"/>
          <w:szCs w:val="28"/>
        </w:rPr>
      </w:pPr>
      <w:r>
        <w:rPr>
          <w:b/>
          <w:bCs/>
          <w:sz w:val="28"/>
          <w:szCs w:val="28"/>
        </w:rPr>
        <w:t>Q：公司各代GPU单卡售价标准是什么？</w:t>
      </w:r>
    </w:p>
    <w:p>
      <w:pPr>
        <w:widowControl/>
        <w:adjustRightInd w:val="0"/>
        <w:snapToGrid w:val="0"/>
        <w:spacing w:line="240" w:lineRule="auto"/>
        <w:ind w:firstLineChars="0" w:firstLine="0"/>
        <w:jc w:val="left"/>
        <w:rPr>
          <w:sz w:val="28"/>
          <w:szCs w:val="28"/>
        </w:rPr>
      </w:pPr>
      <w:r>
        <w:rPr>
          <w:sz w:val="28"/>
          <w:szCs w:val="28"/>
        </w:rPr>
        <w:t>A：第一代HL100推理GPU单卡定价3万元。第二代HL200芯片计划2026年12月前正式推出，目前暂定单卡售价1</w:t>
      </w:r>
      <w:r>
        <w:rPr>
          <w:rFonts w:hint="eastAsia"/>
          <w:sz w:val="28"/>
          <w:szCs w:val="28"/>
        </w:rPr>
        <w:t>5</w:t>
      </w:r>
      <w:r>
        <w:rPr>
          <w:sz w:val="28"/>
          <w:szCs w:val="28"/>
        </w:rPr>
        <w:t>万元。</w:t>
      </w:r>
    </w:p>
    <w:p>
      <w:pPr>
        <w:widowControl/>
        <w:adjustRightInd w:val="0"/>
        <w:snapToGrid w:val="0"/>
        <w:spacing w:line="240" w:lineRule="auto"/>
        <w:ind w:firstLineChars="0" w:firstLine="0"/>
        <w:jc w:val="left"/>
        <w:rPr>
          <w:sz w:val="28"/>
          <w:szCs w:val="28"/>
        </w:rPr>
      </w:pPr>
      <w:r>
        <w:rPr>
          <w:b/>
          <w:bCs/>
          <w:sz w:val="28"/>
          <w:szCs w:val="28"/>
        </w:rPr>
        <w:t>Q：2025年500余万元GPU卡收入对应的客户是哪家？</w:t>
      </w:r>
    </w:p>
    <w:p>
      <w:pPr>
        <w:widowControl/>
        <w:adjustRightInd w:val="0"/>
        <w:snapToGrid w:val="0"/>
        <w:spacing w:line="240" w:lineRule="auto"/>
        <w:ind w:firstLineChars="0" w:firstLine="0"/>
        <w:jc w:val="left"/>
        <w:rPr>
          <w:sz w:val="28"/>
          <w:szCs w:val="28"/>
        </w:rPr>
      </w:pPr>
      <w:r>
        <w:rPr>
          <w:sz w:val="28"/>
          <w:szCs w:val="28"/>
        </w:rPr>
        <w:t>A：2025年确认的500余万元HL100 GPU卡收入，全部来自单一客户飞拓。</w:t>
      </w:r>
    </w:p>
    <w:p>
      <w:pPr>
        <w:widowControl/>
        <w:adjustRightInd w:val="0"/>
        <w:snapToGrid w:val="0"/>
        <w:spacing w:line="240" w:lineRule="auto"/>
        <w:ind w:firstLineChars="0" w:firstLine="0"/>
        <w:jc w:val="left"/>
        <w:rPr>
          <w:sz w:val="28"/>
          <w:szCs w:val="28"/>
        </w:rPr>
      </w:pPr>
      <w:r>
        <w:rPr>
          <w:b/>
          <w:bCs/>
          <w:sz w:val="28"/>
          <w:szCs w:val="28"/>
        </w:rPr>
        <w:t>Q：除飞拓外，一代HL100产品已通过哪些客户验证，反馈如何？</w:t>
      </w:r>
    </w:p>
    <w:p>
      <w:pPr>
        <w:widowControl/>
        <w:adjustRightInd w:val="0"/>
        <w:snapToGrid w:val="0"/>
        <w:spacing w:line="240" w:lineRule="auto"/>
        <w:ind w:firstLineChars="0" w:firstLine="0"/>
        <w:jc w:val="left"/>
        <w:rPr>
          <w:sz w:val="28"/>
          <w:szCs w:val="28"/>
        </w:rPr>
      </w:pPr>
      <w:r>
        <w:rPr>
          <w:sz w:val="28"/>
          <w:szCs w:val="28"/>
        </w:rPr>
        <w:t>A：HL100已完成同泰怡、中国联通、光</w:t>
      </w:r>
      <w:r>
        <w:rPr>
          <w:rFonts w:hint="eastAsia"/>
          <w:sz w:val="28"/>
          <w:szCs w:val="28"/>
        </w:rPr>
        <w:t>环</w:t>
      </w:r>
      <w:r>
        <w:rPr>
          <w:sz w:val="28"/>
          <w:szCs w:val="28"/>
        </w:rPr>
        <w:t>云等多家客户的测试验证，</w:t>
      </w:r>
      <w:r>
        <w:rPr>
          <w:rFonts w:hint="eastAsia"/>
          <w:sz w:val="28"/>
          <w:szCs w:val="28"/>
        </w:rPr>
        <w:t>测试</w:t>
      </w:r>
      <w:r>
        <w:rPr>
          <w:sz w:val="28"/>
          <w:szCs w:val="28"/>
        </w:rPr>
        <w:t>场景均可正常跑通，产品稳定性得到客户认可。产品短板为采用LPDDR5技术，运行速度低于HBM架构竞品，但具备低功耗、低成本的核心优势。</w:t>
      </w:r>
    </w:p>
    <w:p>
      <w:pPr>
        <w:widowControl/>
        <w:adjustRightInd w:val="0"/>
        <w:snapToGrid w:val="0"/>
        <w:spacing w:line="240" w:lineRule="auto"/>
        <w:ind w:firstLineChars="0" w:firstLine="0"/>
        <w:jc w:val="left"/>
        <w:rPr>
          <w:sz w:val="28"/>
          <w:szCs w:val="28"/>
        </w:rPr>
      </w:pPr>
      <w:r>
        <w:rPr>
          <w:b/>
          <w:bCs/>
          <w:sz w:val="28"/>
          <w:szCs w:val="28"/>
        </w:rPr>
        <w:t>Q：中国能建采购公司产品的核心用途是什么？</w:t>
      </w:r>
    </w:p>
    <w:p>
      <w:pPr>
        <w:widowControl/>
        <w:adjustRightInd w:val="0"/>
        <w:snapToGrid w:val="0"/>
        <w:spacing w:line="240" w:lineRule="auto"/>
        <w:ind w:firstLineChars="0" w:firstLine="0"/>
        <w:jc w:val="left"/>
        <w:rPr>
          <w:sz w:val="28"/>
          <w:szCs w:val="28"/>
        </w:rPr>
      </w:pPr>
      <w:r>
        <w:rPr>
          <w:sz w:val="28"/>
          <w:szCs w:val="28"/>
        </w:rPr>
        <w:t>A：中国能建持有国家长三角芜湖算力中心节点资质，其核心目的并非运营算力中心，而是依托该资质换取新能源电厂建设指标。根据国家要求，获取算力节点资质必须落地算力中心建设，因此需要采购设备搭建算力中心，属于配套落地任务。</w:t>
      </w:r>
    </w:p>
    <w:p>
      <w:pPr>
        <w:widowControl/>
        <w:adjustRightInd w:val="0"/>
        <w:snapToGrid w:val="0"/>
        <w:spacing w:line="240" w:lineRule="auto"/>
        <w:ind w:firstLineChars="0" w:firstLine="0"/>
        <w:jc w:val="left"/>
        <w:rPr>
          <w:sz w:val="28"/>
          <w:szCs w:val="28"/>
        </w:rPr>
      </w:pPr>
      <w:r>
        <w:rPr>
          <w:b/>
          <w:bCs/>
          <w:sz w:val="28"/>
          <w:szCs w:val="28"/>
        </w:rPr>
        <w:t>Q：公司HL100一代产品的核心参数与行业水平对比如何？</w:t>
      </w:r>
    </w:p>
    <w:p>
      <w:pPr>
        <w:widowControl/>
        <w:adjustRightInd w:val="0"/>
        <w:snapToGrid w:val="0"/>
        <w:spacing w:line="240" w:lineRule="auto"/>
        <w:ind w:firstLineChars="0" w:firstLine="0"/>
        <w:jc w:val="left"/>
        <w:rPr>
          <w:sz w:val="28"/>
          <w:szCs w:val="28"/>
        </w:rPr>
      </w:pPr>
      <w:r>
        <w:rPr>
          <w:sz w:val="28"/>
          <w:szCs w:val="28"/>
        </w:rPr>
        <w:t>A：产品FP16、BF16算力指标为256，处于行业中等偏上水平，与</w:t>
      </w:r>
      <w:r>
        <w:rPr>
          <w:rFonts w:hint="eastAsia"/>
          <w:sz w:val="28"/>
          <w:szCs w:val="28"/>
        </w:rPr>
        <w:t>沐曦</w:t>
      </w:r>
      <w:r>
        <w:rPr>
          <w:sz w:val="28"/>
          <w:szCs w:val="28"/>
        </w:rPr>
        <w:t>C500等产品持平，略低于华为、寒武纪产品。显存容量128G，优于行业主流64G、96G配置。短板为显存带宽仅两百多G，相较于HBM架构竞品1600G-2000G的带宽，存在十倍左右差距。</w:t>
      </w:r>
    </w:p>
    <w:p>
      <w:pPr>
        <w:widowControl/>
        <w:adjustRightInd w:val="0"/>
        <w:snapToGrid w:val="0"/>
        <w:spacing w:line="240" w:lineRule="auto"/>
        <w:ind w:firstLineChars="0" w:firstLine="0"/>
        <w:jc w:val="left"/>
        <w:rPr>
          <w:sz w:val="28"/>
          <w:szCs w:val="28"/>
        </w:rPr>
      </w:pPr>
      <w:r>
        <w:rPr>
          <w:b/>
          <w:bCs/>
          <w:sz w:val="28"/>
          <w:szCs w:val="28"/>
        </w:rPr>
        <w:t>Q：公司GPU产品与行业竞品的场景定位差异是什么？</w:t>
      </w:r>
    </w:p>
    <w:p>
      <w:pPr>
        <w:widowControl/>
        <w:adjustRightInd w:val="0"/>
        <w:snapToGrid w:val="0"/>
        <w:spacing w:line="240" w:lineRule="auto"/>
        <w:ind w:firstLineChars="0" w:firstLine="0"/>
        <w:jc w:val="left"/>
        <w:rPr>
          <w:sz w:val="28"/>
          <w:szCs w:val="28"/>
        </w:rPr>
      </w:pPr>
      <w:r>
        <w:rPr>
          <w:sz w:val="28"/>
          <w:szCs w:val="28"/>
        </w:rPr>
        <w:t>A：公司产品精准聚焦纯推理场景，放弃高强度训练性能，主打低功耗、低成本。行业头部竞品多主打训推一体或纯训练场景，侧重极致运算速度、算力上限。二者场景定位不同，核心优化方向与目标客户群体完全区分。</w:t>
      </w:r>
    </w:p>
    <w:p>
      <w:pPr>
        <w:widowControl/>
        <w:adjustRightInd w:val="0"/>
        <w:snapToGrid w:val="0"/>
        <w:spacing w:line="240" w:lineRule="auto"/>
        <w:ind w:firstLineChars="0" w:firstLine="0"/>
        <w:jc w:val="left"/>
        <w:rPr>
          <w:sz w:val="28"/>
          <w:szCs w:val="28"/>
        </w:rPr>
      </w:pPr>
      <w:r>
        <w:rPr>
          <w:b/>
          <w:bCs/>
          <w:sz w:val="28"/>
          <w:szCs w:val="28"/>
        </w:rPr>
        <w:t>Q：相较于华为NPU产品，公司GPU在推理场景有哪些优势？</w:t>
      </w:r>
    </w:p>
    <w:p>
      <w:pPr>
        <w:widowControl/>
        <w:adjustRightInd w:val="0"/>
        <w:snapToGrid w:val="0"/>
        <w:spacing w:line="240" w:lineRule="auto"/>
        <w:ind w:firstLineChars="0" w:firstLine="0"/>
        <w:jc w:val="left"/>
        <w:rPr>
          <w:sz w:val="28"/>
          <w:szCs w:val="28"/>
        </w:rPr>
      </w:pPr>
      <w:r>
        <w:rPr>
          <w:sz w:val="28"/>
          <w:szCs w:val="28"/>
        </w:rPr>
        <w:t>A：NPU仅为GPU的一类计算单元，无绝对的训练、推理专属属性。华为新款芯片主打训推一体，通用性强但成本偏高。当前行业趋势为训推、推理产品专业化拆分，公司专注纯推理赛道，砍掉冗余训练性能，大幅压缩成本与功耗，在商用推理场景性价比优势显著。</w:t>
      </w:r>
    </w:p>
    <w:p>
      <w:pPr>
        <w:widowControl/>
        <w:adjustRightInd w:val="0"/>
        <w:snapToGrid w:val="0"/>
        <w:spacing w:line="240" w:lineRule="auto"/>
        <w:ind w:firstLineChars="0" w:firstLine="0"/>
        <w:jc w:val="left"/>
        <w:rPr>
          <w:sz w:val="28"/>
          <w:szCs w:val="28"/>
        </w:rPr>
      </w:pPr>
      <w:r>
        <w:rPr>
          <w:b/>
          <w:bCs/>
          <w:sz w:val="28"/>
          <w:szCs w:val="28"/>
        </w:rPr>
        <w:t>Q：公司产品未采用HBM显存，核心技术与供应链门槛是什么？</w:t>
      </w:r>
    </w:p>
    <w:p>
      <w:pPr>
        <w:widowControl/>
        <w:adjustRightInd w:val="0"/>
        <w:snapToGrid w:val="0"/>
        <w:spacing w:line="240" w:lineRule="auto"/>
        <w:ind w:firstLineChars="0" w:firstLine="0"/>
        <w:jc w:val="left"/>
        <w:rPr>
          <w:sz w:val="28"/>
          <w:szCs w:val="28"/>
        </w:rPr>
      </w:pPr>
      <w:r>
        <w:rPr>
          <w:sz w:val="28"/>
          <w:szCs w:val="28"/>
        </w:rPr>
        <w:t>A：HBM与LPDDR无核心技术壁垒，核心难点集中在供应链。高端HBM颗粒由韩国三星、海力士垄断，且受美国出口限制。国内长鑫存储布局HBM但成本高、良品率低，未实现大批量商用，同时HBM封装产能稀缺，整体供应链受限严重，而LPDDR供应链成熟稳定。</w:t>
      </w:r>
    </w:p>
    <w:p>
      <w:pPr>
        <w:widowControl/>
        <w:adjustRightInd w:val="0"/>
        <w:snapToGrid w:val="0"/>
        <w:spacing w:line="240" w:lineRule="auto"/>
        <w:ind w:firstLineChars="0" w:firstLine="0"/>
        <w:jc w:val="left"/>
        <w:rPr>
          <w:sz w:val="28"/>
          <w:szCs w:val="28"/>
        </w:rPr>
      </w:pPr>
      <w:r>
        <w:rPr>
          <w:b/>
          <w:bCs/>
          <w:sz w:val="28"/>
          <w:szCs w:val="28"/>
        </w:rPr>
        <w:t>Q：公司产品的核心差异化竞争优势是什么？</w:t>
      </w:r>
    </w:p>
    <w:p>
      <w:pPr>
        <w:widowControl/>
        <w:adjustRightInd w:val="0"/>
        <w:snapToGrid w:val="0"/>
        <w:spacing w:line="240" w:lineRule="auto"/>
        <w:ind w:firstLineChars="0" w:firstLine="0"/>
        <w:jc w:val="left"/>
        <w:rPr>
          <w:sz w:val="28"/>
          <w:szCs w:val="28"/>
        </w:rPr>
      </w:pPr>
      <w:r>
        <w:rPr>
          <w:sz w:val="28"/>
          <w:szCs w:val="28"/>
        </w:rPr>
        <w:t>A：公司产品核心差异为超低功耗、极致低价。公司从初期就放弃竞争激烈的训练赛道，专注推理赛道。推理场景客户对采购成本、使用功耗高度敏感，对轻微速度差距容忍度高，产品精准适配垂直推理商用场景。</w:t>
      </w:r>
    </w:p>
    <w:p>
      <w:pPr>
        <w:widowControl/>
        <w:adjustRightInd w:val="0"/>
        <w:snapToGrid w:val="0"/>
        <w:spacing w:line="240" w:lineRule="auto"/>
        <w:ind w:firstLineChars="0" w:firstLine="0"/>
        <w:jc w:val="left"/>
        <w:rPr>
          <w:sz w:val="28"/>
          <w:szCs w:val="28"/>
        </w:rPr>
      </w:pPr>
      <w:r>
        <w:rPr>
          <w:b/>
          <w:bCs/>
          <w:sz w:val="28"/>
          <w:szCs w:val="28"/>
        </w:rPr>
        <w:t>Q：客户如何取舍公司产品的速度短板与成本优势？</w:t>
      </w:r>
    </w:p>
    <w:p>
      <w:pPr>
        <w:widowControl/>
        <w:adjustRightInd w:val="0"/>
        <w:snapToGrid w:val="0"/>
        <w:spacing w:line="240" w:lineRule="auto"/>
        <w:ind w:firstLineChars="0" w:firstLine="0"/>
        <w:jc w:val="left"/>
        <w:rPr>
          <w:sz w:val="28"/>
          <w:szCs w:val="28"/>
        </w:rPr>
      </w:pPr>
      <w:r>
        <w:rPr>
          <w:sz w:val="28"/>
          <w:szCs w:val="28"/>
        </w:rPr>
        <w:t>A：公司产品与高端竞品的速度差距仅为秒级、微秒级，无分钟级明显差距。在内容审核、普通图像识别、记账问答、教培等场景，轻微速度差距不影响业务落地，但可大幅降低采购与运维成本，客户接受度极高，仅不适用于自动驾驶等极速响应场景。</w:t>
      </w:r>
    </w:p>
    <w:p>
      <w:pPr>
        <w:widowControl/>
        <w:adjustRightInd w:val="0"/>
        <w:snapToGrid w:val="0"/>
        <w:spacing w:line="240" w:lineRule="auto"/>
        <w:ind w:firstLineChars="0" w:firstLine="0"/>
        <w:jc w:val="left"/>
        <w:rPr>
          <w:sz w:val="28"/>
          <w:szCs w:val="28"/>
        </w:rPr>
      </w:pPr>
      <w:r>
        <w:rPr>
          <w:b/>
          <w:bCs/>
          <w:sz w:val="28"/>
          <w:szCs w:val="28"/>
        </w:rPr>
        <w:t>Q：公司二代HL200芯片双制程的产品定位差异是什么？</w:t>
      </w:r>
    </w:p>
    <w:p>
      <w:pPr>
        <w:widowControl/>
        <w:adjustRightInd w:val="0"/>
        <w:snapToGrid w:val="0"/>
        <w:spacing w:line="240" w:lineRule="auto"/>
        <w:ind w:firstLineChars="0" w:firstLine="0"/>
        <w:jc w:val="left"/>
        <w:rPr>
          <w:sz w:val="28"/>
          <w:szCs w:val="28"/>
        </w:rPr>
      </w:pPr>
      <w:r>
        <w:rPr>
          <w:sz w:val="28"/>
          <w:szCs w:val="28"/>
        </w:rPr>
        <w:t>A：二代芯片采用国内外差异化定位，海外6纳米版本主打高性能，适配互联网、速度敏感型高端场景；国内12纳米版本优先适配国产供应链，延续低功耗、低成本优势，主打价格、功耗敏感的通用推理场景，双线覆盖全品类需求。</w:t>
      </w:r>
    </w:p>
    <w:p>
      <w:pPr>
        <w:widowControl/>
        <w:adjustRightInd w:val="0"/>
        <w:snapToGrid w:val="0"/>
        <w:spacing w:line="240" w:lineRule="auto"/>
        <w:ind w:firstLineChars="0" w:firstLine="0"/>
        <w:jc w:val="left"/>
        <w:rPr>
          <w:sz w:val="28"/>
          <w:szCs w:val="28"/>
        </w:rPr>
      </w:pPr>
      <w:r>
        <w:rPr>
          <w:b/>
          <w:bCs/>
          <w:sz w:val="28"/>
          <w:szCs w:val="28"/>
        </w:rPr>
        <w:t>Q：公司产品相较于行业同类产品的价格优势比例是多少？</w:t>
      </w:r>
    </w:p>
    <w:p>
      <w:pPr>
        <w:widowControl/>
        <w:adjustRightInd w:val="0"/>
        <w:snapToGrid w:val="0"/>
        <w:spacing w:line="240" w:lineRule="auto"/>
        <w:ind w:firstLineChars="0" w:firstLine="0"/>
        <w:jc w:val="left"/>
        <w:rPr>
          <w:sz w:val="28"/>
          <w:szCs w:val="28"/>
        </w:rPr>
      </w:pPr>
      <w:r>
        <w:rPr>
          <w:sz w:val="28"/>
          <w:szCs w:val="28"/>
        </w:rPr>
        <w:t>A：公司产品价格优势显著，售价基本为行业同类竞品的一半。行业主流推理、训推一体产品售价6万-10万元，华为高端产品可达10万-15万元，公司一代HL100单卡仅3万元。</w:t>
      </w:r>
    </w:p>
    <w:p>
      <w:pPr>
        <w:widowControl/>
        <w:adjustRightInd w:val="0"/>
        <w:snapToGrid w:val="0"/>
        <w:spacing w:line="240" w:lineRule="auto"/>
        <w:ind w:firstLineChars="0" w:firstLine="0"/>
        <w:jc w:val="left"/>
        <w:rPr>
          <w:sz w:val="28"/>
          <w:szCs w:val="28"/>
        </w:rPr>
      </w:pPr>
      <w:r>
        <w:rPr>
          <w:b/>
          <w:bCs/>
          <w:sz w:val="28"/>
          <w:szCs w:val="28"/>
        </w:rPr>
        <w:t>Q：除显存类型外，公司产品低成本的核心因素有哪些？</w:t>
      </w:r>
    </w:p>
    <w:p>
      <w:pPr>
        <w:widowControl/>
        <w:adjustRightInd w:val="0"/>
        <w:snapToGrid w:val="0"/>
        <w:spacing w:line="240" w:lineRule="auto"/>
        <w:ind w:firstLineChars="0" w:firstLine="0"/>
        <w:jc w:val="left"/>
        <w:rPr>
          <w:sz w:val="28"/>
          <w:szCs w:val="28"/>
        </w:rPr>
      </w:pPr>
      <w:r>
        <w:rPr>
          <w:sz w:val="28"/>
          <w:szCs w:val="28"/>
        </w:rPr>
        <w:t>A：低成本优势来自全产业链环节，LPDDR显存IP授权成本远低于HBM，且采用传统封装工艺，封装成本大幅降低。同时产品流片、量产、组装工艺成熟可控，多环节叠加，实现整体极致低成本。</w:t>
      </w:r>
    </w:p>
    <w:p>
      <w:pPr>
        <w:widowControl/>
        <w:adjustRightInd w:val="0"/>
        <w:snapToGrid w:val="0"/>
        <w:spacing w:line="240" w:lineRule="auto"/>
        <w:ind w:firstLineChars="0" w:firstLine="0"/>
        <w:jc w:val="left"/>
        <w:rPr>
          <w:sz w:val="28"/>
          <w:szCs w:val="28"/>
        </w:rPr>
      </w:pPr>
      <w:r>
        <w:rPr>
          <w:b/>
          <w:bCs/>
          <w:sz w:val="28"/>
          <w:szCs w:val="28"/>
        </w:rPr>
        <w:t>Q：公司当前的核心竞争对手及竞品产品有哪些？</w:t>
      </w:r>
    </w:p>
    <w:p>
      <w:pPr>
        <w:widowControl/>
        <w:adjustRightInd w:val="0"/>
        <w:snapToGrid w:val="0"/>
        <w:spacing w:line="240" w:lineRule="auto"/>
        <w:ind w:firstLineChars="0" w:firstLine="0"/>
        <w:jc w:val="left"/>
        <w:rPr>
          <w:sz w:val="28"/>
          <w:szCs w:val="28"/>
        </w:rPr>
      </w:pPr>
      <w:r>
        <w:rPr>
          <w:sz w:val="28"/>
          <w:szCs w:val="28"/>
        </w:rPr>
        <w:t>A：纯训练赛道企业不属于公司竞品，当前行业头部企业均在向推理赛道延伸。直接核心竞争对手为华为，其训推一体产品可全面覆盖推理市场。摩尔线程、沐曦</w:t>
      </w:r>
      <w:r>
        <w:rPr>
          <w:rFonts w:hint="eastAsia"/>
          <w:sz w:val="28"/>
          <w:szCs w:val="28"/>
        </w:rPr>
        <w:t>、曦望</w:t>
      </w:r>
      <w:r>
        <w:rPr>
          <w:sz w:val="28"/>
          <w:szCs w:val="28"/>
        </w:rPr>
        <w:t>已官宣布局推理产品，但暂无成熟量产产品，落地后将成为新增竞品，其余厂商暂无成型推理类产品。</w:t>
      </w:r>
    </w:p>
    <w:p>
      <w:pPr>
        <w:widowControl/>
        <w:adjustRightInd w:val="0"/>
        <w:snapToGrid w:val="0"/>
        <w:spacing w:line="240" w:lineRule="auto"/>
        <w:ind w:firstLineChars="0" w:firstLine="0"/>
        <w:jc w:val="left"/>
        <w:rPr>
          <w:sz w:val="28"/>
          <w:szCs w:val="28"/>
        </w:rPr>
      </w:pPr>
      <w:r>
        <w:rPr>
          <w:b/>
          <w:bCs/>
          <w:sz w:val="28"/>
          <w:szCs w:val="28"/>
        </w:rPr>
        <w:t>Q：公司不同类型客户的账期、付款条件与结算方式是什么？</w:t>
      </w:r>
    </w:p>
    <w:p>
      <w:pPr>
        <w:widowControl/>
        <w:adjustRightInd w:val="0"/>
        <w:snapToGrid w:val="0"/>
        <w:spacing w:line="240" w:lineRule="auto"/>
        <w:ind w:firstLineChars="0" w:firstLine="0"/>
        <w:jc w:val="left"/>
        <w:rPr>
          <w:sz w:val="28"/>
          <w:szCs w:val="28"/>
        </w:rPr>
      </w:pPr>
      <w:r>
        <w:rPr>
          <w:sz w:val="28"/>
          <w:szCs w:val="28"/>
        </w:rPr>
        <w:t>A：行业主流结算为334模式，即30%预付款、发货前核验付30%、验收调试通过后付40%尾款。部分优质客户结算更优，如</w:t>
      </w:r>
      <w:r>
        <w:rPr>
          <w:rFonts w:hint="eastAsia"/>
          <w:sz w:val="28"/>
          <w:szCs w:val="28"/>
        </w:rPr>
        <w:t>移动</w:t>
      </w:r>
      <w:r>
        <w:rPr>
          <w:sz w:val="28"/>
          <w:szCs w:val="28"/>
        </w:rPr>
        <w:t>客户采用73模式，首付70%、验收后付30%，无中间发货付款环节。</w:t>
      </w:r>
    </w:p>
    <w:p>
      <w:pPr>
        <w:widowControl/>
        <w:adjustRightInd w:val="0"/>
        <w:snapToGrid w:val="0"/>
        <w:spacing w:line="240" w:lineRule="auto"/>
        <w:ind w:firstLineChars="0" w:firstLine="0"/>
        <w:jc w:val="left"/>
        <w:rPr>
          <w:sz w:val="28"/>
          <w:szCs w:val="28"/>
        </w:rPr>
      </w:pPr>
      <w:r>
        <w:rPr>
          <w:b/>
          <w:bCs/>
          <w:sz w:val="28"/>
          <w:szCs w:val="28"/>
        </w:rPr>
        <w:t>Q：公司订单整体执行与回款周期大概多久？</w:t>
      </w:r>
    </w:p>
    <w:p>
      <w:pPr>
        <w:widowControl/>
        <w:adjustRightInd w:val="0"/>
        <w:snapToGrid w:val="0"/>
        <w:spacing w:line="240" w:lineRule="auto"/>
        <w:ind w:firstLineChars="0" w:firstLine="0"/>
        <w:jc w:val="left"/>
        <w:rPr>
          <w:sz w:val="28"/>
          <w:szCs w:val="28"/>
        </w:rPr>
      </w:pPr>
      <w:r>
        <w:rPr>
          <w:sz w:val="28"/>
          <w:szCs w:val="28"/>
        </w:rPr>
        <w:t>A：常规项目整体执行、回款周期至少半年以上。算力中心项目单批次设备量大，常规按需流片、生产、交付、验收全流程周期约半年，仅提前备货成品可缩短交付周期。</w:t>
      </w:r>
    </w:p>
    <w:p>
      <w:pPr>
        <w:widowControl/>
        <w:adjustRightInd w:val="0"/>
        <w:snapToGrid w:val="0"/>
        <w:spacing w:line="240" w:lineRule="auto"/>
        <w:ind w:firstLineChars="0" w:firstLine="0"/>
        <w:jc w:val="left"/>
        <w:rPr>
          <w:sz w:val="28"/>
          <w:szCs w:val="28"/>
        </w:rPr>
      </w:pPr>
      <w:r>
        <w:rPr>
          <w:b/>
          <w:bCs/>
          <w:sz w:val="28"/>
          <w:szCs w:val="28"/>
        </w:rPr>
        <w:t>Q：公司当前GPU卡备货量及货值情况如何？</w:t>
      </w:r>
    </w:p>
    <w:p>
      <w:pPr>
        <w:widowControl/>
        <w:adjustRightInd w:val="0"/>
        <w:snapToGrid w:val="0"/>
        <w:spacing w:line="240" w:lineRule="auto"/>
        <w:ind w:firstLineChars="0" w:firstLine="0"/>
        <w:jc w:val="left"/>
        <w:rPr>
          <w:sz w:val="28"/>
          <w:szCs w:val="28"/>
        </w:rPr>
      </w:pPr>
      <w:r>
        <w:rPr>
          <w:sz w:val="28"/>
          <w:szCs w:val="28"/>
        </w:rPr>
        <w:t>A：公司当前GPU成品库存不多，现有</w:t>
      </w:r>
      <w:r>
        <w:rPr>
          <w:rFonts w:hint="eastAsia"/>
          <w:sz w:val="28"/>
          <w:szCs w:val="28"/>
        </w:rPr>
        <w:t>四</w:t>
      </w:r>
      <w:r>
        <w:rPr>
          <w:sz w:val="28"/>
          <w:szCs w:val="28"/>
        </w:rPr>
        <w:t>千余张芯片卡，对应货值预估近1亿元。公司已计划6月启动新一轮流片下单，保障后续订单交付。</w:t>
      </w:r>
    </w:p>
    <w:p>
      <w:pPr>
        <w:widowControl/>
        <w:adjustRightInd w:val="0"/>
        <w:snapToGrid w:val="0"/>
        <w:spacing w:line="240" w:lineRule="auto"/>
        <w:ind w:firstLineChars="0" w:firstLine="0"/>
        <w:jc w:val="left"/>
        <w:rPr>
          <w:sz w:val="28"/>
          <w:szCs w:val="28"/>
        </w:rPr>
      </w:pPr>
      <w:r>
        <w:rPr>
          <w:b/>
          <w:bCs/>
          <w:sz w:val="28"/>
          <w:szCs w:val="28"/>
        </w:rPr>
        <w:t>Q：公司自研CPU的商业化落地与创收时间节点是什么？</w:t>
      </w:r>
    </w:p>
    <w:p>
      <w:pPr>
        <w:widowControl/>
        <w:adjustRightInd w:val="0"/>
        <w:snapToGrid w:val="0"/>
        <w:spacing w:line="240" w:lineRule="auto"/>
        <w:ind w:firstLineChars="0" w:firstLine="0"/>
        <w:jc w:val="left"/>
        <w:rPr>
          <w:sz w:val="28"/>
          <w:szCs w:val="28"/>
        </w:rPr>
      </w:pPr>
      <w:r>
        <w:rPr>
          <w:sz w:val="28"/>
          <w:szCs w:val="28"/>
        </w:rPr>
        <w:t>A：公司自研CPU目前处于架构设计阶段，依托申威成熟技术体系，技术稳定性高。产品预计2027年</w:t>
      </w:r>
      <w:r>
        <w:rPr>
          <w:rFonts w:hint="eastAsia"/>
          <w:sz w:val="28"/>
          <w:szCs w:val="28"/>
        </w:rPr>
        <w:t>6月底流片</w:t>
      </w:r>
      <w:r>
        <w:rPr>
          <w:sz w:val="28"/>
          <w:szCs w:val="28"/>
        </w:rPr>
        <w:t>，2028年可形成规模化销售收入。</w:t>
      </w:r>
    </w:p>
    <w:p>
      <w:pPr>
        <w:widowControl/>
        <w:adjustRightInd w:val="0"/>
        <w:snapToGrid w:val="0"/>
        <w:spacing w:line="240" w:lineRule="auto"/>
        <w:ind w:firstLineChars="0" w:firstLine="0"/>
        <w:jc w:val="left"/>
        <w:rPr>
          <w:sz w:val="28"/>
          <w:szCs w:val="28"/>
        </w:rPr>
      </w:pPr>
      <w:r>
        <w:rPr>
          <w:b/>
          <w:bCs/>
          <w:sz w:val="28"/>
          <w:szCs w:val="28"/>
        </w:rPr>
        <w:t>Q：公司CPU研发与申威的合作方案取舍与规划是什么？</w:t>
      </w:r>
    </w:p>
    <w:p>
      <w:pPr>
        <w:widowControl/>
        <w:adjustRightInd w:val="0"/>
        <w:snapToGrid w:val="0"/>
        <w:spacing w:line="240" w:lineRule="auto"/>
        <w:ind w:firstLineChars="0" w:firstLine="0"/>
        <w:jc w:val="left"/>
        <w:rPr>
          <w:sz w:val="28"/>
          <w:szCs w:val="28"/>
        </w:rPr>
      </w:pPr>
      <w:r>
        <w:rPr>
          <w:sz w:val="28"/>
          <w:szCs w:val="28"/>
        </w:rPr>
        <w:t>A：公司优先倾向与申威开展联合IP研发合作，虽前期投入更高，但可深度掌握底层核心技术，实现自主可控。保底方案为3000万一次性授权+2%版税模式，目前架构研发工作已正式启动。</w:t>
      </w:r>
    </w:p>
    <w:p>
      <w:pPr>
        <w:widowControl/>
        <w:adjustRightInd w:val="0"/>
        <w:snapToGrid w:val="0"/>
        <w:spacing w:line="240" w:lineRule="auto"/>
        <w:ind w:firstLineChars="0" w:firstLine="0"/>
        <w:jc w:val="left"/>
        <w:rPr>
          <w:sz w:val="28"/>
          <w:szCs w:val="28"/>
        </w:rPr>
      </w:pPr>
      <w:r>
        <w:rPr>
          <w:b/>
          <w:bCs/>
          <w:sz w:val="28"/>
          <w:szCs w:val="28"/>
        </w:rPr>
        <w:t>Q：公司QPU量子芯片的商业化节奏与营收预期是什么？</w:t>
      </w:r>
    </w:p>
    <w:p>
      <w:pPr>
        <w:widowControl/>
        <w:adjustRightInd w:val="0"/>
        <w:snapToGrid w:val="0"/>
        <w:spacing w:line="240" w:lineRule="auto"/>
        <w:ind w:firstLineChars="0" w:firstLine="0"/>
        <w:jc w:val="left"/>
        <w:rPr>
          <w:sz w:val="28"/>
          <w:szCs w:val="28"/>
        </w:rPr>
      </w:pPr>
      <w:r>
        <w:rPr>
          <w:sz w:val="28"/>
          <w:szCs w:val="28"/>
        </w:rPr>
        <w:t>A：QPU目前处于实验室向产业化过渡初期，产业链尚未成熟。公司今年可实现千万级小额营收，无大规模爆发空间。作为国家重点布局的颠覆性技术，需提前战略布局，预计三年后可形成批量收入，实现规模化商业化落地。</w:t>
      </w:r>
    </w:p>
    <w:p>
      <w:pPr>
        <w:widowControl/>
        <w:adjustRightInd w:val="0"/>
        <w:snapToGrid w:val="0"/>
        <w:spacing w:line="240" w:lineRule="auto"/>
        <w:ind w:firstLineChars="0" w:firstLine="0"/>
        <w:jc w:val="left"/>
        <w:rPr>
          <w:sz w:val="28"/>
          <w:szCs w:val="28"/>
        </w:rPr>
      </w:pPr>
      <w:r>
        <w:rPr>
          <w:b/>
          <w:bCs/>
          <w:sz w:val="28"/>
          <w:szCs w:val="28"/>
        </w:rPr>
        <w:t>Q：公司自研CPU相较于行业现有产品的核心优势是什么？</w:t>
      </w:r>
    </w:p>
    <w:p>
      <w:pPr>
        <w:widowControl/>
        <w:adjustRightInd w:val="0"/>
        <w:snapToGrid w:val="0"/>
        <w:spacing w:line="240" w:lineRule="auto"/>
        <w:ind w:firstLineChars="0" w:firstLine="0"/>
        <w:jc w:val="left"/>
        <w:rPr>
          <w:sz w:val="28"/>
          <w:szCs w:val="28"/>
        </w:rPr>
      </w:pPr>
      <w:r>
        <w:rPr>
          <w:sz w:val="28"/>
          <w:szCs w:val="28"/>
        </w:rPr>
        <w:t>A：公司自研CPU核心优势为底层安全可控、架构先进。采用申威指令集+RISC-V指令集异构架构，申威指令集负责系统安全管控，RISC-V指令集负责运算，延续申威超算核心设计思路，可全方位保障服务器与系统底层安全。</w:t>
      </w:r>
    </w:p>
    <w:p>
      <w:pPr>
        <w:widowControl/>
        <w:adjustRightInd w:val="0"/>
        <w:snapToGrid w:val="0"/>
        <w:spacing w:line="240" w:lineRule="auto"/>
        <w:ind w:firstLineChars="0" w:firstLine="0"/>
        <w:jc w:val="left"/>
        <w:rPr>
          <w:sz w:val="28"/>
          <w:szCs w:val="28"/>
        </w:rPr>
      </w:pPr>
      <w:r>
        <w:rPr>
          <w:b/>
          <w:bCs/>
          <w:sz w:val="28"/>
          <w:szCs w:val="28"/>
        </w:rPr>
        <w:t>Q：公司CPU在国产替代与自主可控层面的核心价值是什么？</w:t>
      </w:r>
    </w:p>
    <w:p>
      <w:pPr>
        <w:widowControl/>
        <w:adjustRightInd w:val="0"/>
        <w:snapToGrid w:val="0"/>
        <w:spacing w:line="240" w:lineRule="auto"/>
        <w:ind w:firstLineChars="0" w:firstLine="0"/>
        <w:jc w:val="left"/>
        <w:rPr>
          <w:sz w:val="28"/>
          <w:szCs w:val="28"/>
        </w:rPr>
      </w:pPr>
      <w:r>
        <w:rPr>
          <w:sz w:val="28"/>
          <w:szCs w:val="28"/>
        </w:rPr>
        <w:t>A：指令集是芯片最底层核心技术，公司自主可控的指令集体系，可摆脱国外X86、ARM生态桎梏，自主掌控上下游软硬件生态，解决行业卡脖子问题。契合国家信创国产替代分步推进的战略方向。</w:t>
      </w:r>
    </w:p>
    <w:p>
      <w:pPr>
        <w:widowControl/>
        <w:adjustRightInd w:val="0"/>
        <w:snapToGrid w:val="0"/>
        <w:spacing w:line="240" w:lineRule="auto"/>
        <w:ind w:firstLineChars="0" w:firstLine="0"/>
        <w:jc w:val="left"/>
        <w:rPr>
          <w:sz w:val="28"/>
          <w:szCs w:val="28"/>
        </w:rPr>
      </w:pPr>
      <w:r>
        <w:rPr>
          <w:b/>
          <w:bCs/>
          <w:sz w:val="28"/>
          <w:szCs w:val="28"/>
        </w:rPr>
        <w:t>Q：公司CPU与龙芯架构产品的差异化是什么？</w:t>
      </w:r>
    </w:p>
    <w:p>
      <w:pPr>
        <w:widowControl/>
        <w:adjustRightInd w:val="0"/>
        <w:snapToGrid w:val="0"/>
        <w:spacing w:line="240" w:lineRule="auto"/>
        <w:ind w:firstLineChars="0" w:firstLine="0"/>
        <w:jc w:val="left"/>
        <w:rPr>
          <w:sz w:val="28"/>
          <w:szCs w:val="28"/>
        </w:rPr>
      </w:pPr>
      <w:r>
        <w:rPr>
          <w:sz w:val="28"/>
          <w:szCs w:val="28"/>
        </w:rPr>
        <w:t>A：龙芯基于自研龙架构，主打桌面、工控场景，聚焦台式机、笔记本、工控设备，</w:t>
      </w:r>
      <w:r>
        <w:rPr>
          <w:rFonts w:hint="eastAsia"/>
          <w:sz w:val="28"/>
          <w:szCs w:val="28"/>
        </w:rPr>
        <w:t>较少布局</w:t>
      </w:r>
      <w:r>
        <w:rPr>
          <w:sz w:val="28"/>
          <w:szCs w:val="28"/>
        </w:rPr>
        <w:t>服务器领域。公司自研CPU聚焦服务器商用场景，适配信创、算力中心等高端商用需求，场景匹配度与行业定位不同。</w:t>
      </w:r>
    </w:p>
    <w:p>
      <w:pPr>
        <w:widowControl/>
        <w:adjustRightInd w:val="0"/>
        <w:snapToGrid w:val="0"/>
        <w:spacing w:after="160" w:line="278" w:lineRule="auto"/>
        <w:ind w:firstLineChars="0" w:firstLine="0"/>
        <w:jc w:val="left"/>
        <w:rPr>
          <w:b/>
          <w:bCs/>
          <w:sz w:val="28"/>
          <w:szCs w:val="28"/>
        </w:rPr>
      </w:pPr>
      <w:r>
        <w:rPr>
          <w:b/>
          <w:bCs/>
          <w:sz w:val="28"/>
          <w:szCs w:val="28"/>
        </w:rPr>
        <w:br w:type="page"/>
      </w:r>
    </w:p>
    <w:p>
      <w:pPr>
        <w:widowControl/>
        <w:numPr>
          <w:ilvl w:val="0"/>
          <w:numId w:val="1"/>
        </w:numPr>
        <w:overflowPunct w:val="0"/>
        <w:topLinePunct/>
        <w:adjustRightInd w:val="0"/>
        <w:snapToGrid w:val="0"/>
        <w:spacing w:after="160" w:line="240" w:lineRule="auto"/>
        <w:ind w:firstLineChars="0"/>
        <w:jc w:val="left"/>
        <w:outlineLvl w:val="1"/>
        <w:rPr>
          <w:b/>
          <w:bCs/>
          <w:sz w:val="28"/>
          <w:szCs w:val="28"/>
        </w:rPr>
      </w:pPr>
      <w:bookmarkStart w:id="25" w:name="_Toc231375143"/>
      <w:r>
        <w:rPr>
          <w:rFonts w:hint="eastAsia"/>
          <w:b/>
          <w:bCs/>
          <w:sz w:val="28"/>
          <w:szCs w:val="28"/>
        </w:rPr>
        <w:t>整机研发负责人</w:t>
      </w:r>
      <w:bookmarkEnd w:id="25"/>
    </w:p>
    <w:p>
      <w:pPr>
        <w:widowControl/>
        <w:adjustRightInd w:val="0"/>
        <w:snapToGrid w:val="0"/>
        <w:spacing w:line="240" w:lineRule="auto"/>
        <w:ind w:firstLineChars="0" w:firstLine="0"/>
        <w:jc w:val="left"/>
        <w:rPr>
          <w:b/>
          <w:bCs/>
          <w:sz w:val="28"/>
          <w:szCs w:val="28"/>
        </w:rPr>
      </w:pPr>
      <w:r>
        <w:rPr>
          <w:rFonts w:hint="eastAsia"/>
          <w:b/>
          <w:bCs/>
          <w:sz w:val="28"/>
          <w:szCs w:val="28"/>
        </w:rPr>
        <w:t>访谈时间：2026年5月28日</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关键信息</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受访人为中诚华隆整机研发中心负责人，其深耕整机行业多年，拥有华</w:t>
      </w:r>
      <w:r>
        <w:rPr>
          <w:rFonts w:hint="eastAsia"/>
          <w:b/>
          <w:bCs/>
          <w:sz w:val="28"/>
          <w:szCs w:val="28"/>
          <w:u w:val="single"/>
        </w:rPr>
        <w:t>胜</w:t>
      </w:r>
      <w:r>
        <w:rPr>
          <w:b/>
          <w:bCs/>
          <w:sz w:val="28"/>
          <w:szCs w:val="28"/>
          <w:u w:val="single"/>
        </w:rPr>
        <w:t>、</w:t>
      </w:r>
      <w:r>
        <w:rPr>
          <w:rFonts w:hint="eastAsia"/>
          <w:b/>
          <w:bCs/>
          <w:sz w:val="28"/>
          <w:szCs w:val="28"/>
          <w:u w:val="single"/>
        </w:rPr>
        <w:t>恒为、汤</w:t>
      </w:r>
      <w:r>
        <w:rPr>
          <w:b/>
          <w:bCs/>
          <w:sz w:val="28"/>
          <w:szCs w:val="28"/>
          <w:u w:val="single"/>
        </w:rPr>
        <w:t>谷等行业大型企业整机开发与项目管理经验，长期聚焦申威产品核心研发领域，凭借业务高度匹配的契机，于3月1日入职中诚华隆（具体年份无法精准区分，为2023年或2024年），入职后全面主导公司2U通算服务器、4U AI服务器、各类算力卡等核心整机产品的研发工作。</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目前其担任公司一级部门整机研发中心负责人，统筹团队人员、项目及研发流程管理，核心工作包含团队人员统筹、各类整机研发项目落地推进、IPD研发标准化流程搭建落地，同时负责规范各技术节点输出标准、文档要求与评审规范，保障研发工作标准化、规范化开展，同步处理各类研发配套零散工作。</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整机研发中心整体人员规模约十人，下设硬件部、软件部两个二级部门，分工清晰明确。其中硬件部由施工担任组长，负责服务器及各类整机产品的硬件开发全流程工作，涵盖方案设计、原理图与PCB设计、研发BOM整理、技术文档编撰等；软件部由理工担任组长，专注服务器整机固件、自动化、OS系统等相关软件研发工作。</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公司整机研发严格依托IPD标准化流程推进，整体分为EVT工程样机、DVT产品优化迭代、PVT小批量试产与可靠性验证、MP正式量产四个核心阶段，各阶段层层递进、严格评审，确保产品从设计研发到量产落地的稳定性与合规性。不同品类产品研发周期存在差异，其中AI服务器依托全流程研发体系，常规研发周期为10-14个月，周期统计起点为公司产品部输出内部标准化产品需求，终端客户定制化订单属于销售实施范畴，无需从零开展全新研发。</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公司整机产品核心由CPU计算主板、存储、散热、供电、I/O五大模块构成，各模块各司其职，共同支撑设备稳定运行。产品分为通用化产品与差异化定制产品，定制化研发主要围绕客户个性化需求展开，涵盖产品结构形态、供电、散热、计算等多个模块，并非单一模块调整。</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尤其AI智算、推理训练一体机等高端AI产品，相较于传统通用服务器，除计算、存储、散热模块外，供电模块差异显著，需根据高功耗GPU配置升级电源功率、优化供电冗余架构，同时各模块均会结合AI算力场景做针对性微调优化。整机外观结构设计、PCB板元器件排布等核心硬件设计工作，均由整机研发团队统筹负责，设计过程中需兼顾结构适配、设备散热、生产工艺等多项技术要求。</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当前整机研发行业及公司业务存在三大核心技术难点与瓶颈，分别是高算力场景下的散热难题、芯片与算力卡间数据传输时延较高、高速存储性价比不足。其中传统风扇散热无法适配高功耗GPU设备，液冷方案则存在成本高、适配性有限的问题；硬件性能升级后的数据传输时延问题成为设备性能提升的主要瓶颈；高速存储介质成本高昂且速度难以匹配数据处理需求，是现阶段核心研发攻关方向。</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针对芯片通信时延问题，公司主要通过提升PCIe传输速率、布局光纤传输技术两大核心方式优化，同时拥有适配自身需求的专属数据传输优化保密方案。而HBM技术属于GPU芯片内部硬件技术，不会对整机层面的数据传输速率造成直接影响。</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目前公司整机研发核心在研项目聚焦两大平台，分别是持续迭代优化的申威平台二代AI服务器，以及具备广阔市场前景的RISC-V平台整机产品，两大平台可复用行业通用标准接口与模块化设计，同时在源码开放度、生态兼容性上形成互补，丰富公司产品布局。</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现阶段公司量产出货及在研产品主要搭载申威CPU，</w:t>
      </w:r>
      <w:r>
        <w:rPr>
          <w:rFonts w:hint="eastAsia"/>
          <w:b/>
          <w:bCs/>
          <w:sz w:val="28"/>
          <w:szCs w:val="28"/>
          <w:u w:val="single"/>
        </w:rPr>
        <w:t>自研GPU，</w:t>
      </w:r>
      <w:r>
        <w:rPr>
          <w:b/>
          <w:bCs/>
          <w:sz w:val="28"/>
          <w:szCs w:val="28"/>
          <w:u w:val="single"/>
        </w:rPr>
        <w:t>RISC-V平台采用合规外部供应商芯片，暂未搭载自研CPU，公司自研</w:t>
      </w:r>
      <w:r>
        <w:rPr>
          <w:rFonts w:hint="eastAsia"/>
          <w:b/>
          <w:bCs/>
          <w:sz w:val="28"/>
          <w:szCs w:val="28"/>
          <w:u w:val="single"/>
        </w:rPr>
        <w:t>CPU</w:t>
      </w:r>
      <w:r>
        <w:rPr>
          <w:b/>
          <w:bCs/>
          <w:sz w:val="28"/>
          <w:szCs w:val="28"/>
          <w:u w:val="single"/>
        </w:rPr>
        <w:t>芯片预计</w:t>
      </w:r>
      <w:r>
        <w:rPr>
          <w:rFonts w:hint="eastAsia"/>
          <w:b/>
          <w:bCs/>
          <w:sz w:val="28"/>
          <w:szCs w:val="28"/>
          <w:u w:val="single"/>
        </w:rPr>
        <w:t>2027年6月份流片，</w:t>
      </w:r>
      <w:r>
        <w:rPr>
          <w:b/>
          <w:bCs/>
          <w:sz w:val="28"/>
          <w:szCs w:val="28"/>
          <w:u w:val="single"/>
        </w:rPr>
        <w:t>2028年</w:t>
      </w:r>
      <w:r>
        <w:rPr>
          <w:rFonts w:hint="eastAsia"/>
          <w:b/>
          <w:bCs/>
          <w:sz w:val="28"/>
          <w:szCs w:val="28"/>
          <w:u w:val="single"/>
        </w:rPr>
        <w:t>量产</w:t>
      </w:r>
      <w:r>
        <w:rPr>
          <w:b/>
          <w:bCs/>
          <w:sz w:val="28"/>
          <w:szCs w:val="28"/>
          <w:u w:val="single"/>
        </w:rPr>
        <w:t>，整机研发团队将提前介入适配研发工作。</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在研发管控与合作模式上，研发端主要从人员调配优化、元器件选型择优、核心配件国产替代三大维度控制研发成本，在保障产品性能的前提下有效降低研发消耗。公司具备独立核心自研能力，搭建了自主技术壁垒，同时依托申威平台开展常态化生态技术合作，兼顾自研优势与外部协同。对外联合研发的知识产权权属、风险评估等工作由公司专项团队统筹管理。</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此外，公司建立了分层客户问题处理机制，已出货产品整体稳定性良好，无通用性产品缺陷，客户反馈问题均为个别场景适配问题，可通过分层机制高效处置。</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未来1-2年，公司整机研发将聚焦三大核心规划，一是深耕申威、RISC-V两大CPU平台，迭代优化产品形态、完善产品布局；二是布局自研一体机产品，依托自有整机平台搭配自研</w:t>
      </w:r>
      <w:r>
        <w:rPr>
          <w:rFonts w:hint="eastAsia"/>
          <w:b/>
          <w:bCs/>
          <w:sz w:val="28"/>
          <w:szCs w:val="28"/>
          <w:u w:val="single"/>
        </w:rPr>
        <w:t>GPU</w:t>
      </w:r>
      <w:r>
        <w:rPr>
          <w:b/>
          <w:bCs/>
          <w:sz w:val="28"/>
          <w:szCs w:val="28"/>
          <w:u w:val="single"/>
        </w:rPr>
        <w:t>推理卡等核心配件，打造一体化产品；三是迭代优化PCIe卡、带外管理卡等配套板卡，完善整机产品生态。</w:t>
      </w:r>
    </w:p>
    <w:p>
      <w:pPr>
        <w:widowControl/>
        <w:numPr>
          <w:ilvl w:val="0"/>
          <w:numId w:val="4"/>
        </w:numPr>
        <w:overflowPunct w:val="0"/>
        <w:topLinePunct/>
        <w:adjustRightInd w:val="0"/>
        <w:snapToGrid w:val="0"/>
        <w:spacing w:line="240" w:lineRule="auto"/>
        <w:ind w:firstLineChars="0"/>
        <w:rPr>
          <w:b/>
          <w:bCs/>
          <w:sz w:val="28"/>
          <w:szCs w:val="28"/>
          <w:u w:val="single"/>
        </w:rPr>
      </w:pPr>
      <w:r>
        <w:rPr>
          <w:b/>
          <w:bCs/>
          <w:sz w:val="28"/>
          <w:szCs w:val="28"/>
          <w:u w:val="single"/>
        </w:rPr>
        <w:t>产品市场定位、具体研发费用核算、产品定价、联合研发知识产权细则、出货产品对应研发平台等业务、财务及专项权属问题，均不由研发板块负责，需向公司沈总及对应专项团队咨询确认。</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具体内容</w:t>
      </w:r>
    </w:p>
    <w:p>
      <w:pPr>
        <w:widowControl/>
        <w:adjustRightInd w:val="0"/>
        <w:snapToGrid w:val="0"/>
        <w:spacing w:line="240" w:lineRule="auto"/>
        <w:ind w:firstLineChars="0" w:firstLine="0"/>
        <w:jc w:val="left"/>
        <w:rPr>
          <w:sz w:val="28"/>
          <w:szCs w:val="28"/>
        </w:rPr>
      </w:pPr>
      <w:r>
        <w:rPr>
          <w:b/>
          <w:bCs/>
          <w:sz w:val="28"/>
          <w:szCs w:val="28"/>
        </w:rPr>
        <w:t>Q：请做简单的自我介绍，介绍个人过往履历情况。</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目前任职于中诚华隆，全面负责公司整机研发相关工作。过往长期深耕整机行业，拥有华</w:t>
      </w:r>
      <w:r>
        <w:rPr>
          <w:rFonts w:hint="eastAsia"/>
          <w:sz w:val="28"/>
          <w:szCs w:val="28"/>
        </w:rPr>
        <w:t>胜</w:t>
      </w:r>
      <w:r>
        <w:rPr>
          <w:sz w:val="28"/>
          <w:szCs w:val="28"/>
        </w:rPr>
        <w:t>、</w:t>
      </w:r>
      <w:r>
        <w:rPr>
          <w:rFonts w:hint="eastAsia"/>
          <w:sz w:val="28"/>
          <w:szCs w:val="28"/>
        </w:rPr>
        <w:t>恒为、汤</w:t>
      </w:r>
      <w:r>
        <w:rPr>
          <w:sz w:val="28"/>
          <w:szCs w:val="28"/>
        </w:rPr>
        <w:t>谷等行业内大型企业的整机开发及项目管理工作经验。入职中诚华隆以来，主导并负责公司多款核心整机产品的研发工作，主要包括</w:t>
      </w:r>
      <w:r>
        <w:rPr>
          <w:rFonts w:hint="eastAsia"/>
          <w:sz w:val="28"/>
          <w:szCs w:val="28"/>
        </w:rPr>
        <w:t>2</w:t>
      </w:r>
      <w:r>
        <w:rPr>
          <w:sz w:val="28"/>
          <w:szCs w:val="28"/>
        </w:rPr>
        <w:t>U通算服务器、4U AI服务器以及各类算力卡等产品。</w:t>
      </w:r>
    </w:p>
    <w:p>
      <w:pPr>
        <w:widowControl/>
        <w:adjustRightInd w:val="0"/>
        <w:snapToGrid w:val="0"/>
        <w:spacing w:line="240" w:lineRule="auto"/>
        <w:ind w:firstLineChars="0" w:firstLine="0"/>
        <w:jc w:val="left"/>
        <w:rPr>
          <w:sz w:val="28"/>
          <w:szCs w:val="28"/>
        </w:rPr>
      </w:pPr>
      <w:r>
        <w:rPr>
          <w:b/>
          <w:bCs/>
          <w:sz w:val="28"/>
          <w:szCs w:val="28"/>
        </w:rPr>
        <w:t>Q：过往是否均在</w:t>
      </w:r>
      <w:r>
        <w:rPr>
          <w:rFonts w:hint="eastAsia"/>
          <w:b/>
          <w:bCs/>
          <w:sz w:val="28"/>
          <w:szCs w:val="28"/>
        </w:rPr>
        <w:t>华胜</w:t>
      </w:r>
      <w:r>
        <w:rPr>
          <w:b/>
          <w:bCs/>
          <w:sz w:val="28"/>
          <w:szCs w:val="28"/>
        </w:rPr>
        <w:t>公司从事服务器研发相关工作？</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除服务器研发工作外，还负责服务器配套的加速卡等相关整机类产品的设计研发工作，整体工作内容均围绕整机研发相关业务展开。</w:t>
      </w:r>
    </w:p>
    <w:p>
      <w:pPr>
        <w:widowControl/>
        <w:adjustRightInd w:val="0"/>
        <w:snapToGrid w:val="0"/>
        <w:spacing w:line="240" w:lineRule="auto"/>
        <w:ind w:firstLineChars="0" w:firstLine="0"/>
        <w:jc w:val="left"/>
        <w:rPr>
          <w:sz w:val="28"/>
          <w:szCs w:val="28"/>
        </w:rPr>
      </w:pPr>
      <w:r>
        <w:rPr>
          <w:b/>
          <w:bCs/>
          <w:sz w:val="28"/>
          <w:szCs w:val="28"/>
        </w:rPr>
        <w:t>Q：加入中诚华隆的入职契机是什么？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中诚华隆原本以申威产品线为核心主导业务，而我过往核心研发业务方向恰好聚焦于申威产品领域。当时公司亟需专业负责人主导申威整机研发产品线的搭建与落地，基于业务匹配度的契机，我选择入职公司。</w:t>
      </w:r>
    </w:p>
    <w:p>
      <w:pPr>
        <w:widowControl/>
        <w:adjustRightInd w:val="0"/>
        <w:snapToGrid w:val="0"/>
        <w:spacing w:line="240" w:lineRule="auto"/>
        <w:ind w:firstLineChars="0" w:firstLine="0"/>
        <w:jc w:val="left"/>
        <w:rPr>
          <w:sz w:val="28"/>
          <w:szCs w:val="28"/>
        </w:rPr>
      </w:pPr>
      <w:r>
        <w:rPr>
          <w:b/>
          <w:bCs/>
          <w:sz w:val="28"/>
          <w:szCs w:val="28"/>
        </w:rPr>
        <w:t>Q：具体入职时间为</w:t>
      </w:r>
      <w:r>
        <w:rPr>
          <w:rFonts w:hint="eastAsia"/>
          <w:b/>
          <w:bCs/>
          <w:sz w:val="28"/>
          <w:szCs w:val="28"/>
        </w:rPr>
        <w:t>20</w:t>
      </w:r>
      <w:r>
        <w:rPr>
          <w:b/>
          <w:bCs/>
          <w:sz w:val="28"/>
          <w:szCs w:val="28"/>
        </w:rPr>
        <w:t>23年还是</w:t>
      </w:r>
      <w:r>
        <w:rPr>
          <w:rFonts w:hint="eastAsia"/>
          <w:b/>
          <w:bCs/>
          <w:sz w:val="28"/>
          <w:szCs w:val="28"/>
        </w:rPr>
        <w:t>20</w:t>
      </w:r>
      <w:r>
        <w:rPr>
          <w:b/>
          <w:bCs/>
          <w:sz w:val="28"/>
          <w:szCs w:val="28"/>
        </w:rPr>
        <w:t>24年3月1日？</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仅明确入职日期为3月1日，因时间较久，无法精准区分是2023年还是2024年的3月1日。</w:t>
      </w:r>
    </w:p>
    <w:p>
      <w:pPr>
        <w:widowControl/>
        <w:adjustRightInd w:val="0"/>
        <w:snapToGrid w:val="0"/>
        <w:spacing w:line="240" w:lineRule="auto"/>
        <w:ind w:firstLineChars="0" w:firstLine="0"/>
        <w:jc w:val="left"/>
        <w:rPr>
          <w:sz w:val="28"/>
          <w:szCs w:val="28"/>
        </w:rPr>
      </w:pPr>
      <w:r>
        <w:rPr>
          <w:b/>
          <w:bCs/>
          <w:sz w:val="28"/>
          <w:szCs w:val="28"/>
        </w:rPr>
        <w:t>Q：介绍目前整机研发部门的组织架构情况。</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整机研发中心为公司一级部门，下设硬件部、软件部两个二级部门。其中硬件部由施工担任组长，主要负责服务器及各类整机产品的硬件开发工作，涵盖方案设计、原理图设计、PCB设计、研发BOM整理、产品技术文档编撰等工作；软件部由理工担任组长，主要负责服务器整机的固件、自动化、OS系统等相关软件研发工作。</w:t>
      </w:r>
    </w:p>
    <w:p>
      <w:pPr>
        <w:widowControl/>
        <w:adjustRightInd w:val="0"/>
        <w:snapToGrid w:val="0"/>
        <w:spacing w:line="240" w:lineRule="auto"/>
        <w:ind w:firstLineChars="0" w:firstLine="0"/>
        <w:jc w:val="left"/>
        <w:rPr>
          <w:sz w:val="28"/>
          <w:szCs w:val="28"/>
        </w:rPr>
      </w:pPr>
      <w:r>
        <w:rPr>
          <w:b/>
          <w:bCs/>
          <w:sz w:val="28"/>
          <w:szCs w:val="28"/>
        </w:rPr>
        <w:t>Q：整机研发部门现有人员规模为多少？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目前整机研发中心整体人员规模在十人左右。</w:t>
      </w:r>
    </w:p>
    <w:p>
      <w:pPr>
        <w:widowControl/>
        <w:adjustRightInd w:val="0"/>
        <w:snapToGrid w:val="0"/>
        <w:spacing w:line="240" w:lineRule="auto"/>
        <w:ind w:firstLineChars="0" w:firstLine="0"/>
        <w:jc w:val="left"/>
        <w:rPr>
          <w:sz w:val="28"/>
          <w:szCs w:val="28"/>
        </w:rPr>
      </w:pPr>
      <w:r>
        <w:rPr>
          <w:b/>
          <w:bCs/>
          <w:sz w:val="28"/>
          <w:szCs w:val="28"/>
        </w:rPr>
        <w:t>Q：个人日常工作职责与工作内容有哪些？</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作为整机研发中心一级部门负责人，</w:t>
      </w:r>
      <w:r>
        <w:rPr>
          <w:rFonts w:hint="eastAsia"/>
          <w:sz w:val="28"/>
          <w:szCs w:val="28"/>
        </w:rPr>
        <w:t>核</w:t>
      </w:r>
      <w:r>
        <w:rPr>
          <w:sz w:val="28"/>
          <w:szCs w:val="28"/>
        </w:rPr>
        <w:t>心工作主要分为三大板块。一是人员管理，统筹负责整个整机研发中心的团队人员管理工作；二是项目管理，公司整机研发产品品类多、技术节点繁杂，需投入大量精力统筹推进各类研发项目落地；三是流程管理，主导制定整机研发标准化流程，引进国内先进的IPD研发流程，明确各技术节点的输出标准、技术文档要求及评审规范，保障研发工作标准化、规范化推进。除此之外，日常还需处理各类研发配套的零散工作。</w:t>
      </w:r>
    </w:p>
    <w:p>
      <w:pPr>
        <w:widowControl/>
        <w:adjustRightInd w:val="0"/>
        <w:snapToGrid w:val="0"/>
        <w:spacing w:line="240" w:lineRule="auto"/>
        <w:ind w:firstLineChars="0" w:firstLine="0"/>
        <w:jc w:val="left"/>
        <w:rPr>
          <w:sz w:val="28"/>
          <w:szCs w:val="28"/>
        </w:rPr>
      </w:pPr>
      <w:r>
        <w:rPr>
          <w:b/>
          <w:bCs/>
          <w:sz w:val="28"/>
          <w:szCs w:val="28"/>
        </w:rPr>
        <w:t>Q：介绍目前公司整机研发的整体流程。</w:t>
      </w:r>
    </w:p>
    <w:p>
      <w:pPr>
        <w:widowControl/>
        <w:adjustRightInd w:val="0"/>
        <w:snapToGrid w:val="0"/>
        <w:spacing w:line="240" w:lineRule="auto"/>
        <w:ind w:firstLineChars="0" w:firstLine="0"/>
        <w:jc w:val="left"/>
        <w:rPr>
          <w:sz w:val="28"/>
          <w:szCs w:val="28"/>
        </w:rPr>
      </w:pPr>
      <w:r>
        <w:rPr>
          <w:b/>
          <w:bCs/>
          <w:sz w:val="28"/>
          <w:szCs w:val="28"/>
        </w:rPr>
        <w:t>A：</w:t>
      </w:r>
      <w:r>
        <w:rPr>
          <w:rFonts w:hint="eastAsia"/>
          <w:sz w:val="28"/>
          <w:szCs w:val="28"/>
        </w:rPr>
        <w:t>1.</w:t>
      </w:r>
      <w:r>
        <w:rPr>
          <w:sz w:val="28"/>
          <w:szCs w:val="28"/>
        </w:rPr>
        <w:t>公司整机研发核心依托IPD研发流程开展，整体分为EVT、DVT、PVT、MP四个核心阶段。EVT为工程样机阶段，首先基于产品端、市场端需求开展产品及技术可行性分析，完成分析后启动研发项目立项，明确项目成员分工，推进详细研发设计、节点评审、资料定稿工作，随后联动供应链及工厂完成样机打样生产，最后通过上电调试、整机测试验证设计与原理的可靠性，为后续迭代优化奠定基础。</w:t>
      </w:r>
    </w:p>
    <w:p>
      <w:pPr>
        <w:widowControl/>
        <w:adjustRightInd w:val="0"/>
        <w:snapToGrid w:val="0"/>
        <w:spacing w:line="240" w:lineRule="auto"/>
        <w:ind w:firstLineChars="0" w:firstLine="0"/>
        <w:jc w:val="left"/>
        <w:rPr>
          <w:sz w:val="28"/>
          <w:szCs w:val="28"/>
        </w:rPr>
      </w:pPr>
      <w:r>
        <w:rPr>
          <w:rFonts w:hint="eastAsia"/>
          <w:sz w:val="28"/>
          <w:szCs w:val="28"/>
        </w:rPr>
        <w:t>2.</w:t>
      </w:r>
      <w:r>
        <w:rPr>
          <w:sz w:val="28"/>
          <w:szCs w:val="28"/>
        </w:rPr>
        <w:t>DVT为产品优化迭代阶段，在EVT工程样机的基础上，针对线路、原理、结构等各类技术问题进行全面优化升级，优化完成后再次联动供应链完成打样生产。该阶段是核心关键节点，直接决定产品是否具备量产基础，完成验证后将联合生产、质量、采购等多部门评审，判定产品是否可进入小批量试产阶段。</w:t>
      </w:r>
    </w:p>
    <w:p>
      <w:pPr>
        <w:widowControl/>
        <w:adjustRightInd w:val="0"/>
        <w:snapToGrid w:val="0"/>
        <w:spacing w:line="240" w:lineRule="auto"/>
        <w:ind w:firstLineChars="0" w:firstLine="0"/>
        <w:jc w:val="left"/>
        <w:rPr>
          <w:sz w:val="28"/>
          <w:szCs w:val="28"/>
        </w:rPr>
      </w:pPr>
      <w:r>
        <w:rPr>
          <w:rFonts w:hint="eastAsia"/>
          <w:sz w:val="28"/>
          <w:szCs w:val="28"/>
        </w:rPr>
        <w:t>3.</w:t>
      </w:r>
      <w:r>
        <w:rPr>
          <w:sz w:val="28"/>
          <w:szCs w:val="28"/>
        </w:rPr>
        <w:t>PVT为小批量试产与可靠性验证阶段，通过评审后开展产品小批量试产，试产完成后开展全方位可靠性测试，包含EMC、ESD、雷击浪涌等常规测试，以及3C、节能等第三方专项测试。所有测试完成后开展PVT评审，判定产品是否可以正式量产。</w:t>
      </w:r>
    </w:p>
    <w:p>
      <w:pPr>
        <w:widowControl/>
        <w:adjustRightInd w:val="0"/>
        <w:snapToGrid w:val="0"/>
        <w:spacing w:line="240" w:lineRule="auto"/>
        <w:ind w:firstLineChars="0" w:firstLine="0"/>
        <w:jc w:val="left"/>
        <w:rPr>
          <w:sz w:val="28"/>
          <w:szCs w:val="28"/>
        </w:rPr>
      </w:pPr>
      <w:r>
        <w:rPr>
          <w:rFonts w:hint="eastAsia"/>
          <w:sz w:val="28"/>
          <w:szCs w:val="28"/>
        </w:rPr>
        <w:t>4.</w:t>
      </w:r>
      <w:r>
        <w:rPr>
          <w:sz w:val="28"/>
          <w:szCs w:val="28"/>
        </w:rPr>
        <w:t>MP为正式量产阶段，PVT评审通过后，由公司新产品导入团队将研发设计成果导入生产环节，后续生产工作由供应链主导，研发团队逐步退出，标志着整机研发工作正式收尾。</w:t>
      </w:r>
    </w:p>
    <w:p>
      <w:pPr>
        <w:widowControl/>
        <w:adjustRightInd w:val="0"/>
        <w:snapToGrid w:val="0"/>
        <w:spacing w:line="240" w:lineRule="auto"/>
        <w:ind w:firstLineChars="0" w:firstLine="0"/>
        <w:jc w:val="left"/>
        <w:rPr>
          <w:sz w:val="28"/>
          <w:szCs w:val="28"/>
        </w:rPr>
      </w:pPr>
      <w:r>
        <w:rPr>
          <w:b/>
          <w:bCs/>
          <w:sz w:val="28"/>
          <w:szCs w:val="28"/>
        </w:rPr>
        <w:t>Q：整机外观设计、PCB板元器件规划与排布是否均由研发部负责？</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相关工作均由整机研发团队统筹权衡负责。其中整机外观、机箱结构匹配由团队结构工程师及结构团队评估设计，PCB板元器件排布、板子尺寸设计需与机箱结构适配，同时兼顾设备散热、钣金工艺等多项技术要求，整体均属于整机研发的核心工作范畴。</w:t>
      </w:r>
    </w:p>
    <w:p>
      <w:pPr>
        <w:widowControl/>
        <w:adjustRightInd w:val="0"/>
        <w:snapToGrid w:val="0"/>
        <w:spacing w:line="240" w:lineRule="auto"/>
        <w:ind w:firstLineChars="0" w:firstLine="0"/>
        <w:jc w:val="left"/>
        <w:rPr>
          <w:sz w:val="28"/>
          <w:szCs w:val="28"/>
        </w:rPr>
      </w:pPr>
      <w:r>
        <w:rPr>
          <w:b/>
          <w:bCs/>
          <w:sz w:val="28"/>
          <w:szCs w:val="28"/>
        </w:rPr>
        <w:t>Q：拆解介绍整机产品的核心构成模块。</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公司整机产品主要分为五大核心模块。一是CPU计算主板模块，为整机核心运算单元，相当于设备的</w:t>
      </w:r>
      <w:r>
        <w:rPr>
          <w:rFonts w:hint="eastAsia"/>
          <w:sz w:val="28"/>
          <w:szCs w:val="28"/>
        </w:rPr>
        <w:t>“</w:t>
      </w:r>
      <w:r>
        <w:rPr>
          <w:sz w:val="28"/>
          <w:szCs w:val="28"/>
        </w:rPr>
        <w:t>大脑</w:t>
      </w:r>
      <w:r>
        <w:rPr>
          <w:rFonts w:hint="eastAsia"/>
          <w:sz w:val="28"/>
          <w:szCs w:val="28"/>
        </w:rPr>
        <w:t>”</w:t>
      </w:r>
      <w:r>
        <w:rPr>
          <w:sz w:val="28"/>
          <w:szCs w:val="28"/>
        </w:rPr>
        <w:t>；二是存储模块，主要由服务器前置面板的硬盘盘位构成，方便用户插拔、更换硬盘，通过RAID卡与CPU主板联动，实现数据存储与管控；三是散热模块，包含风扇散热、液冷散热两种形式，负责整机设备的散热降温；四是供电模块，布置于设备后面板，采用冗余设计、热插拔形式，为整机提供稳定供电；五是I</w:t>
      </w:r>
      <w:r>
        <w:rPr>
          <w:rFonts w:hint="eastAsia"/>
          <w:sz w:val="28"/>
          <w:szCs w:val="28"/>
        </w:rPr>
        <w:t>/</w:t>
      </w:r>
      <w:r>
        <w:rPr>
          <w:sz w:val="28"/>
          <w:szCs w:val="28"/>
        </w:rPr>
        <w:t>O模块，同样布置于设备后面板，涵盖网口、USB口等各类人机交互接口，保障设备外接与数据交互功能。</w:t>
      </w:r>
    </w:p>
    <w:p>
      <w:pPr>
        <w:widowControl/>
        <w:adjustRightInd w:val="0"/>
        <w:snapToGrid w:val="0"/>
        <w:spacing w:line="240" w:lineRule="auto"/>
        <w:ind w:firstLineChars="0" w:firstLine="0"/>
        <w:jc w:val="left"/>
        <w:rPr>
          <w:sz w:val="28"/>
          <w:szCs w:val="28"/>
        </w:rPr>
      </w:pPr>
      <w:r>
        <w:rPr>
          <w:b/>
          <w:bCs/>
          <w:sz w:val="28"/>
          <w:szCs w:val="28"/>
        </w:rPr>
        <w:t>Q：公司整机产品的差异化、定制化研发主要体现在哪些模块？</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整机产品分为通用化产品与差异化定制产品，差异化主要围绕客户个性化需求开展。例如针对客户需要便携摆放、特殊形态的工作站类产品，会针对性开展结构、形态的定制化研发。同时高端AI服务器产品与通用服务器相比，核心模块存在明显差异，以八卡GPU服务器为例，高功耗、多数量的GPU卡对供电能力要求更高，需要升级电源功率、优化供电冗余设计，除此之外散热、计算等模块也会根据产品定位做差异化优化。</w:t>
      </w:r>
    </w:p>
    <w:p>
      <w:pPr>
        <w:widowControl/>
        <w:adjustRightInd w:val="0"/>
        <w:snapToGrid w:val="0"/>
        <w:spacing w:line="240" w:lineRule="auto"/>
        <w:ind w:firstLineChars="0" w:firstLine="0"/>
        <w:jc w:val="left"/>
        <w:rPr>
          <w:sz w:val="28"/>
          <w:szCs w:val="28"/>
        </w:rPr>
      </w:pPr>
      <w:r>
        <w:rPr>
          <w:b/>
          <w:bCs/>
          <w:sz w:val="28"/>
          <w:szCs w:val="28"/>
        </w:rPr>
        <w:t>Q：AI智算一体机、推理训练一体机相较于传统通用服务器，是否仅计算、存储、散热模块存在差异，电源、I</w:t>
      </w:r>
      <w:r>
        <w:rPr>
          <w:rFonts w:hint="eastAsia"/>
          <w:b/>
          <w:bCs/>
          <w:sz w:val="28"/>
          <w:szCs w:val="28"/>
        </w:rPr>
        <w:t>/</w:t>
      </w:r>
      <w:r>
        <w:rPr>
          <w:b/>
          <w:bCs/>
          <w:sz w:val="28"/>
          <w:szCs w:val="28"/>
        </w:rPr>
        <w:t>O模块基本无差异？</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并非仅有三大模块存在差异，电源模块也存在明显差异化。高端AI服务器搭载多块高功耗GPU卡，整体设备功耗大幅提升，需要升级单台CRPS电源功率、优化供电冗余架构，保障设备稳定运行。除此之外，其余模块也会根据AI算力场景的需求，做针对性的微调优化，整体与传统通用服务器存在多处差异。</w:t>
      </w:r>
    </w:p>
    <w:p>
      <w:pPr>
        <w:widowControl/>
        <w:adjustRightInd w:val="0"/>
        <w:snapToGrid w:val="0"/>
        <w:spacing w:line="240" w:lineRule="auto"/>
        <w:ind w:firstLineChars="0" w:firstLine="0"/>
        <w:jc w:val="left"/>
        <w:rPr>
          <w:sz w:val="28"/>
          <w:szCs w:val="28"/>
        </w:rPr>
      </w:pPr>
      <w:r>
        <w:rPr>
          <w:b/>
          <w:bCs/>
          <w:sz w:val="28"/>
          <w:szCs w:val="28"/>
        </w:rPr>
        <w:t>Q：目前公司整机产品的市场定位是什么，主要面向数据中心建设还是零散客户推理、训练需求？</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产品市场定位、客户场景布局等业务相关工作由沈总全权负责，我仅负责纯研发板块工作，无法解答该问题，可后续向沈总咨询相关信息。</w:t>
      </w:r>
    </w:p>
    <w:p>
      <w:pPr>
        <w:widowControl/>
        <w:adjustRightInd w:val="0"/>
        <w:snapToGrid w:val="0"/>
        <w:spacing w:line="240" w:lineRule="auto"/>
        <w:ind w:firstLineChars="0" w:firstLine="0"/>
        <w:jc w:val="left"/>
        <w:rPr>
          <w:sz w:val="28"/>
          <w:szCs w:val="28"/>
        </w:rPr>
      </w:pPr>
      <w:r>
        <w:rPr>
          <w:b/>
          <w:bCs/>
          <w:sz w:val="28"/>
          <w:szCs w:val="28"/>
        </w:rPr>
        <w:t>Q：目前公司整机研发存在哪些技术难点与瓶颈？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当前行业及公司整机研发主要存在三大核心技术难点。</w:t>
      </w:r>
    </w:p>
    <w:p>
      <w:pPr>
        <w:widowControl/>
        <w:adjustRightInd w:val="0"/>
        <w:snapToGrid w:val="0"/>
        <w:spacing w:line="240" w:lineRule="auto"/>
        <w:ind w:firstLineChars="0" w:firstLine="0"/>
        <w:jc w:val="left"/>
        <w:rPr>
          <w:sz w:val="28"/>
          <w:szCs w:val="28"/>
        </w:rPr>
      </w:pPr>
      <w:r>
        <w:rPr>
          <w:rFonts w:hint="eastAsia"/>
          <w:sz w:val="28"/>
          <w:szCs w:val="28"/>
        </w:rPr>
        <w:t>1.</w:t>
      </w:r>
      <w:r>
        <w:rPr>
          <w:sz w:val="28"/>
          <w:szCs w:val="28"/>
        </w:rPr>
        <w:t>第一是散热难题，随着服务器算力、整机密度不断提升，GPU卡功耗持续升高，传统风扇散热无法满足需求，目前主流的冷板式、浸没式液冷方案均存在成本高、适配性有限的问题，如何平衡散热性能、成本与客户接受度是核心难点。</w:t>
      </w:r>
    </w:p>
    <w:p>
      <w:pPr>
        <w:widowControl/>
        <w:adjustRightInd w:val="0"/>
        <w:snapToGrid w:val="0"/>
        <w:spacing w:line="240" w:lineRule="auto"/>
        <w:ind w:firstLineChars="0" w:firstLine="0"/>
        <w:jc w:val="left"/>
        <w:rPr>
          <w:sz w:val="28"/>
          <w:szCs w:val="28"/>
        </w:rPr>
      </w:pPr>
      <w:r>
        <w:rPr>
          <w:rFonts w:hint="eastAsia"/>
          <w:sz w:val="28"/>
          <w:szCs w:val="28"/>
        </w:rPr>
        <w:t>2.</w:t>
      </w:r>
      <w:r>
        <w:rPr>
          <w:sz w:val="28"/>
          <w:szCs w:val="28"/>
        </w:rPr>
        <w:t>第二是数据传输时延问题，当前CPU、内存硬件性能持续升级，但GPU卡之间、芯片之间的数据搬运时延较高，数据传输速率成为限制设备性能的关键瓶颈，降低传输时延是核心攻关方向。</w:t>
      </w:r>
    </w:p>
    <w:p>
      <w:pPr>
        <w:widowControl/>
        <w:adjustRightInd w:val="0"/>
        <w:snapToGrid w:val="0"/>
        <w:spacing w:line="240" w:lineRule="auto"/>
        <w:ind w:firstLineChars="0" w:firstLine="0"/>
        <w:jc w:val="left"/>
        <w:rPr>
          <w:sz w:val="28"/>
          <w:szCs w:val="28"/>
        </w:rPr>
      </w:pPr>
      <w:r>
        <w:rPr>
          <w:rFonts w:hint="eastAsia"/>
          <w:sz w:val="28"/>
          <w:szCs w:val="28"/>
        </w:rPr>
        <w:t>3.</w:t>
      </w:r>
      <w:r>
        <w:rPr>
          <w:sz w:val="28"/>
          <w:szCs w:val="28"/>
        </w:rPr>
        <w:t>第三是存储性价比难题，目前行业普遍采用SSD、NVMe等高速存储介质，但高速存储成本高昂，且部分场景下存储速度无法匹配数据处理速度，打造高性价比的高速存储方案是重要研发方向。</w:t>
      </w:r>
    </w:p>
    <w:p>
      <w:pPr>
        <w:widowControl/>
        <w:adjustRightInd w:val="0"/>
        <w:snapToGrid w:val="0"/>
        <w:spacing w:line="240" w:lineRule="auto"/>
        <w:ind w:firstLineChars="0" w:firstLine="0"/>
        <w:jc w:val="left"/>
        <w:rPr>
          <w:sz w:val="28"/>
          <w:szCs w:val="28"/>
        </w:rPr>
      </w:pPr>
      <w:r>
        <w:rPr>
          <w:b/>
          <w:bCs/>
          <w:sz w:val="28"/>
          <w:szCs w:val="28"/>
        </w:rPr>
        <w:t>Q：不考虑成本的情况下，目前优化GPU卡间数据搬运速率、降低时延的解决方案有哪些？</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公司针对芯片、算力卡与服务器之间的数据传输优化，已沉淀适配自身用户需求的专属解决方案，因涉及保密内容，暂无法详细阐述，整体方案以精准匹配用户核心需求为核心原则。</w:t>
      </w:r>
    </w:p>
    <w:p>
      <w:pPr>
        <w:widowControl/>
        <w:adjustRightInd w:val="0"/>
        <w:snapToGrid w:val="0"/>
        <w:spacing w:line="240" w:lineRule="auto"/>
        <w:ind w:firstLineChars="0" w:firstLine="0"/>
        <w:jc w:val="left"/>
        <w:rPr>
          <w:sz w:val="28"/>
          <w:szCs w:val="28"/>
        </w:rPr>
      </w:pPr>
      <w:r>
        <w:rPr>
          <w:b/>
          <w:bCs/>
          <w:sz w:val="28"/>
          <w:szCs w:val="28"/>
        </w:rPr>
        <w:t>Q：针对GPU芯片与CPU芯片之间的通信速率问题，具体有哪些研发优化手段？</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目前核心优化方式主要有两种。一是提升PCI</w:t>
      </w:r>
      <w:r>
        <w:rPr>
          <w:rFonts w:hint="eastAsia"/>
          <w:sz w:val="28"/>
          <w:szCs w:val="28"/>
        </w:rPr>
        <w:t>e</w:t>
      </w:r>
      <w:r>
        <w:rPr>
          <w:sz w:val="28"/>
          <w:szCs w:val="28"/>
        </w:rPr>
        <w:t>传输速率，通过拓宽PCI</w:t>
      </w:r>
      <w:r>
        <w:rPr>
          <w:rFonts w:hint="eastAsia"/>
          <w:sz w:val="28"/>
          <w:szCs w:val="28"/>
        </w:rPr>
        <w:t>e</w:t>
      </w:r>
      <w:r>
        <w:rPr>
          <w:sz w:val="28"/>
          <w:szCs w:val="28"/>
        </w:rPr>
        <w:t>协议带宽，直接提升算力卡数据传输效率，降低通信时延，是当前最核心、最主流的优化方案；二是布局光纤传输技术，行业已逐步发现铜线传输无法满足未来高速数据传输需求，公司目前已提前投入光纤传输相关技术的研发与落地。</w:t>
      </w:r>
    </w:p>
    <w:p>
      <w:pPr>
        <w:widowControl/>
        <w:adjustRightInd w:val="0"/>
        <w:snapToGrid w:val="0"/>
        <w:spacing w:line="240" w:lineRule="auto"/>
        <w:ind w:firstLineChars="0" w:firstLine="0"/>
        <w:jc w:val="left"/>
        <w:rPr>
          <w:sz w:val="28"/>
          <w:szCs w:val="28"/>
        </w:rPr>
      </w:pPr>
      <w:r>
        <w:rPr>
          <w:b/>
          <w:bCs/>
          <w:sz w:val="28"/>
          <w:szCs w:val="28"/>
        </w:rPr>
        <w:t>Q：HBM技术是否会影响整机数据传输速率？</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HBM（如HBM3）技术集成于GPU芯片内部，属于显卡自身的硬件技术，和整机研发层面的数据传输速率优化不属于同一范畴，不会直接影响整机端的芯片、算力卡数据传输效果。</w:t>
      </w:r>
    </w:p>
    <w:p>
      <w:pPr>
        <w:widowControl/>
        <w:adjustRightInd w:val="0"/>
        <w:snapToGrid w:val="0"/>
        <w:spacing w:line="240" w:lineRule="auto"/>
        <w:ind w:firstLineChars="0" w:firstLine="0"/>
        <w:jc w:val="left"/>
        <w:rPr>
          <w:sz w:val="28"/>
          <w:szCs w:val="28"/>
        </w:rPr>
      </w:pPr>
      <w:r>
        <w:rPr>
          <w:b/>
          <w:bCs/>
          <w:sz w:val="28"/>
          <w:szCs w:val="28"/>
        </w:rPr>
        <w:t>Q：公司整机产品的研发周期大概为多久？</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研发周期根据产品品类有所差异，以AI服务器为例，严格按照IPD全流程研发，整体研发周期至少为10个月，常规周期在10-14个月之间。</w:t>
      </w:r>
    </w:p>
    <w:p>
      <w:pPr>
        <w:widowControl/>
        <w:adjustRightInd w:val="0"/>
        <w:snapToGrid w:val="0"/>
        <w:spacing w:line="240" w:lineRule="auto"/>
        <w:ind w:firstLineChars="0" w:firstLine="0"/>
        <w:jc w:val="left"/>
        <w:rPr>
          <w:sz w:val="28"/>
          <w:szCs w:val="28"/>
        </w:rPr>
      </w:pPr>
      <w:r>
        <w:rPr>
          <w:b/>
          <w:bCs/>
          <w:sz w:val="28"/>
          <w:szCs w:val="28"/>
        </w:rPr>
        <w:t>Q：研发周期统计节点是从客户需求对接开始，还是公司内部标准化产品需求开始？终端客户订单是否无需重新研发？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10-14个月的研发周期，统计起点为公司产品部输出内部标准化产品需求。而对接中国移动等终端客户的定制化订单，属于销售落地与项目实施范畴，不属于整机全新研发项目，无需从零启动全流程研发。</w:t>
      </w:r>
    </w:p>
    <w:p>
      <w:pPr>
        <w:widowControl/>
        <w:adjustRightInd w:val="0"/>
        <w:snapToGrid w:val="0"/>
        <w:spacing w:line="240" w:lineRule="auto"/>
        <w:ind w:firstLineChars="0" w:firstLine="0"/>
        <w:jc w:val="left"/>
        <w:rPr>
          <w:sz w:val="28"/>
          <w:szCs w:val="28"/>
        </w:rPr>
      </w:pPr>
      <w:r>
        <w:rPr>
          <w:b/>
          <w:bCs/>
          <w:sz w:val="28"/>
          <w:szCs w:val="28"/>
        </w:rPr>
        <w:t>Q：不同研发难度的整机产品，研发费用大概是什么水平？</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整机研发费用核算、产品定价等工作由产品部、财务部及沈总统筹负责，研发团队仅负责技术研发工作，不参与费用核算，因此无法提供相关数据。</w:t>
      </w:r>
    </w:p>
    <w:p>
      <w:pPr>
        <w:widowControl/>
        <w:adjustRightInd w:val="0"/>
        <w:snapToGrid w:val="0"/>
        <w:spacing w:line="240" w:lineRule="auto"/>
        <w:ind w:firstLineChars="0" w:firstLine="0"/>
        <w:jc w:val="left"/>
        <w:rPr>
          <w:sz w:val="28"/>
          <w:szCs w:val="28"/>
        </w:rPr>
      </w:pPr>
      <w:r>
        <w:rPr>
          <w:b/>
          <w:bCs/>
          <w:sz w:val="28"/>
          <w:szCs w:val="28"/>
        </w:rPr>
        <w:t>Q：公司整机研发是否会模仿行业友商方案，打造同等级竞品产品？</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行业内服务器领域存在大量通用标准化协议，例如PCI</w:t>
      </w:r>
      <w:r>
        <w:rPr>
          <w:rFonts w:hint="eastAsia"/>
          <w:sz w:val="28"/>
          <w:szCs w:val="28"/>
        </w:rPr>
        <w:t>e</w:t>
      </w:r>
      <w:r>
        <w:rPr>
          <w:sz w:val="28"/>
          <w:szCs w:val="28"/>
        </w:rPr>
        <w:t>标准接口协议、接线方式等，属于全行业共用的技术成果，行业内企业均可通用，这不属于模仿友商方案。整机行业的标准化技术定义，有效降低了行业研发门槛、提升了技术通用性。在此基础上，各企业会在模块化设计、技术优化等方面打造自身的差异化优势，公司研发也是依托行业通用标准，同步打造自有技术亮点，不存在单纯模仿友商的情况。</w:t>
      </w:r>
    </w:p>
    <w:p>
      <w:pPr>
        <w:widowControl/>
        <w:adjustRightInd w:val="0"/>
        <w:snapToGrid w:val="0"/>
        <w:spacing w:line="240" w:lineRule="auto"/>
        <w:ind w:firstLineChars="0" w:firstLine="0"/>
        <w:jc w:val="left"/>
        <w:rPr>
          <w:sz w:val="28"/>
          <w:szCs w:val="28"/>
        </w:rPr>
      </w:pPr>
      <w:r>
        <w:rPr>
          <w:b/>
          <w:bCs/>
          <w:sz w:val="28"/>
          <w:szCs w:val="28"/>
        </w:rPr>
        <w:t>Q：已出货产品是否收到销售端反馈的需优化改进的问题？</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建立了分层的客户问题处理机制，由售后、技术支持团队直接对接客户现场问题。常规且简单的现场问题，经过专业培训的技术支持团队可直接解决。无法现场解决的问题，会统一反馈至研发团队，研发团队会甄别问题属于个例故障还是产品通用缺陷。目前已出货产品经过严苛的标准化研发测试及第三方认证，整体稳定性良好，暂未发现通用性产品问题，客户反馈问题均为个例场景问题。</w:t>
      </w:r>
    </w:p>
    <w:p>
      <w:pPr>
        <w:widowControl/>
        <w:adjustRightInd w:val="0"/>
        <w:snapToGrid w:val="0"/>
        <w:spacing w:line="240" w:lineRule="auto"/>
        <w:ind w:firstLineChars="0" w:firstLine="0"/>
        <w:jc w:val="left"/>
        <w:rPr>
          <w:sz w:val="28"/>
          <w:szCs w:val="28"/>
        </w:rPr>
      </w:pPr>
      <w:r>
        <w:rPr>
          <w:b/>
          <w:bCs/>
          <w:sz w:val="28"/>
          <w:szCs w:val="28"/>
        </w:rPr>
        <w:t>Q：目前手上有哪些在研的整机项目？</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目前公司整机研发核心在研项目分为两大平台方向。一是申威平台二代AI服务器，相较于一代产品，二代产品在功能、性能上均有升级优化，项目需求来自产品部，目前处于正常研发推进阶段。二是RISC-V平台整机产品，RISC-V是国内外重点布局的开源CPU架构，市场发展前景广阔，是公司现阶段重点研发布局的新方向。</w:t>
      </w:r>
    </w:p>
    <w:p>
      <w:pPr>
        <w:widowControl/>
        <w:adjustRightInd w:val="0"/>
        <w:snapToGrid w:val="0"/>
        <w:spacing w:line="240" w:lineRule="auto"/>
        <w:ind w:firstLineChars="0" w:firstLine="0"/>
        <w:jc w:val="left"/>
        <w:rPr>
          <w:sz w:val="28"/>
          <w:szCs w:val="28"/>
        </w:rPr>
      </w:pPr>
      <w:r>
        <w:rPr>
          <w:b/>
          <w:bCs/>
          <w:sz w:val="28"/>
          <w:szCs w:val="28"/>
        </w:rPr>
        <w:t>Q：公司已小批量出货的整机产品，搭载的是什么研发平台？</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出货相关的项目落地、平台对接属于后端业务范畴，不属于整机研发工作内容，我无法精准对应本次沟通提及的出货产品平台。目前公司量产出货的产品包含台式机、工作站、AI服务器、通算服务器等多类形态，其中包含申威平台产品，具体出货产品的详细平台信息，需向沈总进一步确认。</w:t>
      </w:r>
    </w:p>
    <w:p>
      <w:pPr>
        <w:widowControl/>
        <w:adjustRightInd w:val="0"/>
        <w:snapToGrid w:val="0"/>
        <w:spacing w:line="240" w:lineRule="auto"/>
        <w:ind w:firstLineChars="0" w:firstLine="0"/>
        <w:jc w:val="left"/>
        <w:rPr>
          <w:sz w:val="28"/>
          <w:szCs w:val="28"/>
        </w:rPr>
      </w:pPr>
      <w:r>
        <w:rPr>
          <w:b/>
          <w:bCs/>
          <w:sz w:val="28"/>
          <w:szCs w:val="28"/>
        </w:rPr>
        <w:t>Q：未来1-2年公司整机研发的整体规划是什么？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未来1-2年整机研发规划主要分为三大核心方向，相关信息较为敏感，仅做简要分享。第一，深耕两大核心CPU平台，持续迭代优化申威、RISC-V平台，基于两大平台拓展、细化各类产品形态，配套完善产品战略布局。第二，布局自研一体机产品，依托公司自有整机平台，搭载自研推理卡、训练卡、显卡等核心配件，打造一体化整机产品形态。第三，研发配套硬件产品，重点推进PCI</w:t>
      </w:r>
      <w:r>
        <w:rPr>
          <w:rFonts w:hint="eastAsia"/>
          <w:sz w:val="28"/>
          <w:szCs w:val="28"/>
        </w:rPr>
        <w:t>e</w:t>
      </w:r>
      <w:r>
        <w:rPr>
          <w:sz w:val="28"/>
          <w:szCs w:val="28"/>
        </w:rPr>
        <w:t>卡、带外管理卡等整机配套板卡的研发迭代，完善公司整机产品生态。</w:t>
      </w:r>
    </w:p>
    <w:p>
      <w:pPr>
        <w:widowControl/>
        <w:adjustRightInd w:val="0"/>
        <w:snapToGrid w:val="0"/>
        <w:spacing w:line="240" w:lineRule="auto"/>
        <w:ind w:firstLineChars="0" w:firstLine="0"/>
        <w:jc w:val="left"/>
        <w:rPr>
          <w:sz w:val="28"/>
          <w:szCs w:val="28"/>
        </w:rPr>
      </w:pPr>
      <w:r>
        <w:rPr>
          <w:b/>
          <w:bCs/>
          <w:sz w:val="28"/>
          <w:szCs w:val="28"/>
        </w:rPr>
        <w:t>Q：后续申威、RISC-V两大平台是否会搭载公司自研CPU？</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自研CPU、GPU属于芯片研发范畴，和整机研发为独立业务板块。在公司自研芯片平台前期研发阶段，整机研发团队会提前介入、同步投入适配研发工作。该部分内容涉密，详细规划暂不便于过多阐述，</w:t>
      </w:r>
      <w:r>
        <w:rPr>
          <w:rFonts w:hint="eastAsia"/>
          <w:sz w:val="28"/>
          <w:szCs w:val="28"/>
        </w:rPr>
        <w:t>CPU</w:t>
      </w:r>
      <w:r>
        <w:rPr>
          <w:sz w:val="28"/>
          <w:szCs w:val="28"/>
        </w:rPr>
        <w:t>芯片预计202</w:t>
      </w:r>
      <w:r>
        <w:rPr>
          <w:rFonts w:hint="eastAsia"/>
          <w:sz w:val="28"/>
          <w:szCs w:val="28"/>
        </w:rPr>
        <w:t>7</w:t>
      </w:r>
      <w:r>
        <w:rPr>
          <w:sz w:val="28"/>
          <w:szCs w:val="28"/>
        </w:rPr>
        <w:t>年</w:t>
      </w:r>
      <w:r>
        <w:rPr>
          <w:rFonts w:hint="eastAsia"/>
          <w:sz w:val="28"/>
          <w:szCs w:val="28"/>
        </w:rPr>
        <w:t>6月</w:t>
      </w:r>
      <w:r>
        <w:rPr>
          <w:sz w:val="28"/>
          <w:szCs w:val="28"/>
        </w:rPr>
        <w:t>推出，后续整机将同步适配自研芯片落地。</w:t>
      </w:r>
    </w:p>
    <w:p>
      <w:pPr>
        <w:widowControl/>
        <w:adjustRightInd w:val="0"/>
        <w:snapToGrid w:val="0"/>
        <w:spacing w:line="240" w:lineRule="auto"/>
        <w:ind w:firstLineChars="0" w:firstLine="0"/>
        <w:jc w:val="left"/>
        <w:rPr>
          <w:sz w:val="28"/>
          <w:szCs w:val="28"/>
        </w:rPr>
      </w:pPr>
      <w:r>
        <w:rPr>
          <w:b/>
          <w:bCs/>
          <w:sz w:val="28"/>
          <w:szCs w:val="28"/>
        </w:rPr>
        <w:t>Q：目前公司研发、出货整机产品搭载的CPU品牌有哪些？</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现阶段公司整机未搭载自研CPU，量产及在研产品主要搭载申威固定品牌CPU；RISC-V平台合作1-2家外部供应商，因涉及保密协议，暂无法详细披露具体品牌信息。</w:t>
      </w:r>
    </w:p>
    <w:p>
      <w:pPr>
        <w:widowControl/>
        <w:adjustRightInd w:val="0"/>
        <w:snapToGrid w:val="0"/>
        <w:spacing w:line="240" w:lineRule="auto"/>
        <w:ind w:firstLineChars="0" w:firstLine="0"/>
        <w:jc w:val="left"/>
        <w:rPr>
          <w:sz w:val="28"/>
          <w:szCs w:val="28"/>
        </w:rPr>
      </w:pPr>
      <w:r>
        <w:rPr>
          <w:b/>
          <w:bCs/>
          <w:sz w:val="28"/>
          <w:szCs w:val="28"/>
        </w:rPr>
        <w:t>Q：申威、RISC-V平台整机的研发成本及成本管控方式是怎样的？</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我无法提供具体的整机研发成本数值，但可分享研发端核心的三大成本管控重点。第一是人员成本管控，产品前期工程样机打样数量少，物料、机箱配件消耗成本较低，核心成本为人员成本，研发端重点通过合理调配研发人员、优化工作排布，实现人员成本最优管控。第二是电子元器件选型管控，在方案设计阶段，结合产品性能需求、物料供货情况、采购周期，择优适配PCI</w:t>
      </w:r>
      <w:r>
        <w:rPr>
          <w:rFonts w:hint="eastAsia"/>
          <w:sz w:val="28"/>
          <w:szCs w:val="28"/>
        </w:rPr>
        <w:t>e</w:t>
      </w:r>
      <w:r>
        <w:rPr>
          <w:sz w:val="28"/>
          <w:szCs w:val="28"/>
        </w:rPr>
        <w:t>芯片、转接芯片等各类元器件，在保障产品性能的前提下控制硬件成本，同时联动供应链完成选型评估。第三是整机配件国产化适配管控，针对过往被国外垄断的RAID卡、网卡等核心配件，对接国内原厂及代理商，通过样品测试、技术适配、方案评审等方式，推进国产配件替代，在满足产品功能性能的同时，降低核心配件采购成本。</w:t>
      </w:r>
    </w:p>
    <w:p>
      <w:pPr>
        <w:widowControl/>
        <w:adjustRightInd w:val="0"/>
        <w:snapToGrid w:val="0"/>
        <w:spacing w:line="240" w:lineRule="auto"/>
        <w:ind w:firstLineChars="0" w:firstLine="0"/>
        <w:jc w:val="left"/>
        <w:rPr>
          <w:sz w:val="28"/>
          <w:szCs w:val="28"/>
        </w:rPr>
      </w:pPr>
      <w:r>
        <w:rPr>
          <w:b/>
          <w:bCs/>
          <w:sz w:val="28"/>
          <w:szCs w:val="28"/>
        </w:rPr>
        <w:t>Q：公司整机研发模式以自研为主还是对外合作为主，是否与高校、申威等单位联合研发？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具备独立的核心自研能力，核心技术均自主掌控，以此搭建自身行业技术壁垒。同时会开展适度的生态合作，因产品依托申威CPU平台研发，公司会与申威芯片原厂技术团队、生态链路团队保持常态化技术合作，兼顾自研核心优势与外部生态协同发展。</w:t>
      </w:r>
    </w:p>
    <w:p>
      <w:pPr>
        <w:widowControl/>
        <w:adjustRightInd w:val="0"/>
        <w:snapToGrid w:val="0"/>
        <w:spacing w:line="240" w:lineRule="auto"/>
        <w:ind w:firstLineChars="0" w:firstLine="0"/>
        <w:jc w:val="left"/>
        <w:rPr>
          <w:sz w:val="28"/>
          <w:szCs w:val="28"/>
        </w:rPr>
      </w:pPr>
      <w:r>
        <w:rPr>
          <w:b/>
          <w:bCs/>
          <w:sz w:val="28"/>
          <w:szCs w:val="28"/>
        </w:rPr>
        <w:t>Q：对外联合研发项目的专利、知识产权权属如何约定？</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联合研发的专利、知识产权权属界定、风险评估等工作，由公司专门团队负责统筹管理，相关规则及细节可进一步向</w:t>
      </w:r>
      <w:r>
        <w:rPr>
          <w:rFonts w:hint="eastAsia"/>
          <w:sz w:val="28"/>
          <w:szCs w:val="28"/>
        </w:rPr>
        <w:t>曾总</w:t>
      </w:r>
      <w:r>
        <w:rPr>
          <w:sz w:val="28"/>
          <w:szCs w:val="28"/>
        </w:rPr>
        <w:t>咨询了解。</w:t>
      </w:r>
    </w:p>
    <w:p>
      <w:pPr>
        <w:widowControl/>
        <w:adjustRightInd w:val="0"/>
        <w:snapToGrid w:val="0"/>
        <w:spacing w:line="240" w:lineRule="auto"/>
        <w:ind w:firstLineChars="0" w:firstLine="0"/>
        <w:jc w:val="left"/>
        <w:rPr>
          <w:sz w:val="28"/>
          <w:szCs w:val="28"/>
        </w:rPr>
      </w:pPr>
      <w:r>
        <w:rPr>
          <w:b/>
          <w:bCs/>
          <w:sz w:val="28"/>
          <w:szCs w:val="28"/>
        </w:rPr>
        <w:t>Q：RISC-V平台快速发展、成为公司核心研发方向的核心原因及与申威平台的异同点？</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RISC-V架构兴起时间较短，但凭借极致的开放性、包容性生态快速风靡国内外，包括阿里等头部企业均在重点布局研发。国内多数CPU架构存在技术壁垒、生态兼容性差的问题，导致终端应用体验不佳，而RISC-V开放融合的生态优势，可有效弥补行业短板，长期发展前景广阔，这也是公司重点布局该平台的核心原因。从技术层面来看，RISC-V与申威平台存在共性与差异：共性在于两者可共用PCIE、DDR等行业通用标准接口协议，模块化设计可相互兼容复用；差异主要体现在源码开放程度、生态兼容程度上，两大平台可形成良好的技术互补，丰富公司整机产品布局。</w:t>
      </w:r>
    </w:p>
    <w:p>
      <w:pPr>
        <w:widowControl/>
        <w:adjustRightInd w:val="0"/>
        <w:snapToGrid w:val="0"/>
        <w:spacing w:after="160" w:line="278" w:lineRule="auto"/>
        <w:ind w:firstLineChars="0" w:firstLine="0"/>
        <w:jc w:val="left"/>
        <w:rPr>
          <w:b/>
          <w:bCs/>
          <w:sz w:val="28"/>
          <w:szCs w:val="28"/>
        </w:rPr>
      </w:pPr>
      <w:r>
        <w:rPr>
          <w:b/>
          <w:bCs/>
          <w:sz w:val="28"/>
          <w:szCs w:val="28"/>
        </w:rPr>
        <w:br w:type="page"/>
      </w:r>
    </w:p>
    <w:p>
      <w:pPr>
        <w:widowControl/>
        <w:numPr>
          <w:ilvl w:val="0"/>
          <w:numId w:val="1"/>
        </w:numPr>
        <w:overflowPunct w:val="0"/>
        <w:topLinePunct/>
        <w:adjustRightInd w:val="0"/>
        <w:snapToGrid w:val="0"/>
        <w:spacing w:after="160" w:line="240" w:lineRule="auto"/>
        <w:ind w:firstLineChars="0"/>
        <w:jc w:val="left"/>
        <w:outlineLvl w:val="1"/>
        <w:rPr>
          <w:b/>
          <w:bCs/>
          <w:sz w:val="28"/>
          <w:szCs w:val="28"/>
        </w:rPr>
      </w:pPr>
      <w:bookmarkStart w:id="26" w:name="_Toc231375144"/>
      <w:r>
        <w:rPr>
          <w:rFonts w:hint="eastAsia"/>
          <w:b/>
          <w:bCs/>
          <w:sz w:val="28"/>
          <w:szCs w:val="28"/>
        </w:rPr>
        <w:t>董事长</w:t>
      </w:r>
      <w:bookmarkEnd w:id="26"/>
    </w:p>
    <w:p>
      <w:pPr>
        <w:widowControl/>
        <w:adjustRightInd w:val="0"/>
        <w:snapToGrid w:val="0"/>
        <w:spacing w:line="240" w:lineRule="auto"/>
        <w:ind w:firstLineChars="0" w:firstLine="0"/>
        <w:jc w:val="left"/>
        <w:rPr>
          <w:b/>
          <w:bCs/>
          <w:sz w:val="28"/>
          <w:szCs w:val="28"/>
        </w:rPr>
      </w:pPr>
      <w:r>
        <w:rPr>
          <w:rFonts w:hint="eastAsia"/>
          <w:b/>
          <w:bCs/>
          <w:sz w:val="28"/>
          <w:szCs w:val="28"/>
        </w:rPr>
        <w:t>访谈时间：2026年5月29日</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关键信息</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中诚华隆于2017年10月注册成立，企业设立依托中央军委、国务院国资委商调安排，经国家层面部署落地，创始团队源自体制内，早期与总参三部开展合作，核心聚焦申威技术体系的产业化与市场推广。公司早期优先布局整机业务，核心初衷是贴近终端市场，精准摸排各行业客户真实需求，规避纯科研式研发脱离实际应用场景的问题，为后续自研芯片业务落地筑牢市场与场景基础。</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在产品研发与迭代方面，公司秉持务实落地、拒绝概念炒作的核心理念，建立了清晰的业务发展节奏，整体分为市场摸底和自研突破两大阶段。依托整机业务完成市场需求沉淀后，公司正式切入自研芯片赛道，优先布局市场化前景优异的GPU产品。</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公司第一代GPU于2025年11月正式发布，规划2026年底推出新一代GPU产品，</w:t>
      </w:r>
      <w:r>
        <w:rPr>
          <w:rFonts w:hint="eastAsia"/>
          <w:b/>
          <w:bCs/>
          <w:sz w:val="28"/>
          <w:szCs w:val="28"/>
          <w:u w:val="single"/>
        </w:rPr>
        <w:t>2027年6月推出CPU产品，</w:t>
      </w:r>
      <w:r>
        <w:rPr>
          <w:b/>
          <w:bCs/>
          <w:sz w:val="28"/>
          <w:szCs w:val="28"/>
          <w:u w:val="single"/>
        </w:rPr>
        <w:t>同时自研的QPU超导量子芯片已完成研发成型。企业始终坚守严谨的产品发布准则，所有产品均需通过内测、外测、第三方权威检测、客户实测等全流程验证，确保技术与产品完全成熟后再对外官宣，彻底区别于行业PPT概念式营销模式。</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目前公司已构建</w:t>
      </w:r>
      <w:r>
        <w:rPr>
          <w:rFonts w:hint="eastAsia"/>
          <w:b/>
          <w:bCs/>
          <w:sz w:val="28"/>
          <w:szCs w:val="28"/>
          <w:u w:val="single"/>
        </w:rPr>
        <w:t>覆盖</w:t>
      </w:r>
      <w:r>
        <w:rPr>
          <w:b/>
          <w:bCs/>
          <w:sz w:val="28"/>
          <w:szCs w:val="28"/>
          <w:u w:val="single"/>
        </w:rPr>
        <w:t>CPU</w:t>
      </w:r>
      <w:r>
        <w:rPr>
          <w:rFonts w:hint="eastAsia"/>
          <w:b/>
          <w:bCs/>
          <w:sz w:val="28"/>
          <w:szCs w:val="28"/>
          <w:u w:val="single"/>
        </w:rPr>
        <w:t>-</w:t>
      </w:r>
      <w:r>
        <w:rPr>
          <w:b/>
          <w:bCs/>
          <w:sz w:val="28"/>
          <w:szCs w:val="28"/>
          <w:u w:val="single"/>
        </w:rPr>
        <w:t>GPU</w:t>
      </w:r>
      <w:r>
        <w:rPr>
          <w:rFonts w:hint="eastAsia"/>
          <w:b/>
          <w:bCs/>
          <w:sz w:val="28"/>
          <w:szCs w:val="28"/>
          <w:u w:val="single"/>
        </w:rPr>
        <w:t>-</w:t>
      </w:r>
      <w:r>
        <w:rPr>
          <w:b/>
          <w:bCs/>
          <w:sz w:val="28"/>
          <w:szCs w:val="28"/>
          <w:u w:val="single"/>
        </w:rPr>
        <w:t>QPU</w:t>
      </w:r>
      <w:r>
        <w:rPr>
          <w:rFonts w:hint="eastAsia"/>
          <w:b/>
          <w:bCs/>
          <w:sz w:val="28"/>
          <w:szCs w:val="28"/>
          <w:u w:val="single"/>
        </w:rPr>
        <w:t>的3</w:t>
      </w:r>
      <w:r>
        <w:rPr>
          <w:b/>
          <w:bCs/>
          <w:sz w:val="28"/>
          <w:szCs w:val="28"/>
          <w:u w:val="single"/>
        </w:rPr>
        <w:t>U一体的核心产品体系，是国内唯一实现三款芯片产品在数据中心场景全链路打通落地应用的企业，可全面支撑</w:t>
      </w:r>
      <w:r>
        <w:rPr>
          <w:rFonts w:hint="eastAsia"/>
          <w:b/>
          <w:bCs/>
          <w:sz w:val="28"/>
          <w:szCs w:val="28"/>
          <w:u w:val="single"/>
        </w:rPr>
        <w:t>通算、智算、超算</w:t>
      </w:r>
      <w:r>
        <w:rPr>
          <w:b/>
          <w:bCs/>
          <w:sz w:val="28"/>
          <w:szCs w:val="28"/>
          <w:u w:val="single"/>
        </w:rPr>
        <w:t>、量算数据中心的建设运营。同时，公司重点布局国家级太空算力中心战略项目，聚焦国内卫星星链配套算力服务，项目所需芯片、整机均为企业全自主知识产权产品，为国内独有核心资源。</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公司</w:t>
      </w:r>
      <w:r>
        <w:rPr>
          <w:rFonts w:hint="eastAsia"/>
          <w:b/>
          <w:bCs/>
          <w:sz w:val="28"/>
          <w:szCs w:val="28"/>
          <w:u w:val="single"/>
        </w:rPr>
        <w:t>与哈工大</w:t>
      </w:r>
      <w:r>
        <w:rPr>
          <w:b/>
          <w:bCs/>
          <w:sz w:val="28"/>
          <w:szCs w:val="28"/>
          <w:u w:val="single"/>
        </w:rPr>
        <w:t>协同研发太空防护、能源供应、火箭入轨等配套核心技术，规划2026年完成卫星设备发射，2027年实现太空算力中心商业化运营。该项目由国家发改委、军方牵头推进，主要匹配国家新增20万颗卫星的算力配套需求，以国家战略落地为核心导向，现阶段稳步推进技术测试与研发落地，暂无市场化订单。</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资本运作与上市规划方面，公司上市工作已全面启动，依托深交所创业板第四套上市标准，由中信证券牵头组建顶级律师、会计师专属服务团队推进相关工作，明确规划2027年上半年递交上市材料。估值与融资层面，机构保守预估公司上市后整体估值可达2000亿，2026年底阶段性估值有望达到200亿；公司计划2026年下半年开展三轮融资，目标融资规模</w:t>
      </w:r>
      <w:r>
        <w:rPr>
          <w:rFonts w:hint="eastAsia"/>
          <w:b/>
          <w:bCs/>
          <w:sz w:val="28"/>
          <w:szCs w:val="28"/>
          <w:u w:val="single"/>
        </w:rPr>
        <w:t>30</w:t>
      </w:r>
      <w:r>
        <w:rPr>
          <w:b/>
          <w:bCs/>
          <w:sz w:val="28"/>
          <w:szCs w:val="28"/>
          <w:u w:val="single"/>
        </w:rPr>
        <w:t>亿，且将在2026年底终止新增融资，同步对外公开</w:t>
      </w:r>
      <w:r>
        <w:rPr>
          <w:rFonts w:hint="eastAsia"/>
          <w:b/>
          <w:bCs/>
          <w:sz w:val="28"/>
          <w:szCs w:val="28"/>
          <w:u w:val="single"/>
        </w:rPr>
        <w:t>最新</w:t>
      </w:r>
      <w:r>
        <w:rPr>
          <w:b/>
          <w:bCs/>
          <w:sz w:val="28"/>
          <w:szCs w:val="28"/>
          <w:u w:val="single"/>
        </w:rPr>
        <w:t>业务成果。</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行业层面，中信证券测算公司每新增1亿元营收，对应估值可提升150至200亿元。结合自身多业务、大体量的资产特点，公司确定优先A股上市、后续推进H股上市的资本路径，目前已获得中国国新、中国诚通、大基金三期等国家级资本的主动对接，企业正统筹筛选合作节奏。</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市场经营与订单层面，公司当前在手订单规模超6亿元，依托成熟的场景适配能力与技术优势，可确保2026年底完成</w:t>
      </w:r>
      <w:r>
        <w:rPr>
          <w:rFonts w:hint="eastAsia"/>
          <w:b/>
          <w:bCs/>
          <w:sz w:val="28"/>
          <w:szCs w:val="28"/>
          <w:u w:val="single"/>
        </w:rPr>
        <w:t>7</w:t>
      </w:r>
      <w:r>
        <w:rPr>
          <w:b/>
          <w:bCs/>
          <w:sz w:val="28"/>
          <w:szCs w:val="28"/>
          <w:u w:val="single"/>
        </w:rPr>
        <w:t>亿至</w:t>
      </w:r>
      <w:r>
        <w:rPr>
          <w:rFonts w:hint="eastAsia"/>
          <w:b/>
          <w:bCs/>
          <w:sz w:val="28"/>
          <w:szCs w:val="28"/>
          <w:u w:val="single"/>
        </w:rPr>
        <w:t>8</w:t>
      </w:r>
      <w:r>
        <w:rPr>
          <w:b/>
          <w:bCs/>
          <w:sz w:val="28"/>
          <w:szCs w:val="28"/>
          <w:u w:val="single"/>
        </w:rPr>
        <w:t>亿元的年度营收目标。公司订单结构以大额批量订单为主，主打</w:t>
      </w:r>
      <w:r>
        <w:rPr>
          <w:rFonts w:hint="eastAsia"/>
          <w:b/>
          <w:bCs/>
          <w:sz w:val="28"/>
          <w:szCs w:val="28"/>
          <w:u w:val="single"/>
        </w:rPr>
        <w:t>几百台</w:t>
      </w:r>
      <w:r>
        <w:rPr>
          <w:b/>
          <w:bCs/>
          <w:sz w:val="28"/>
          <w:szCs w:val="28"/>
          <w:u w:val="single"/>
        </w:rPr>
        <w:t>以上整机批量采购、大型数据中心联合建设及整体总包解决方案，单项目营收体量可观，新一代HL200芯片未正式发布便已获得机构提前锁定采购</w:t>
      </w:r>
      <w:r>
        <w:rPr>
          <w:rFonts w:hint="eastAsia"/>
          <w:b/>
          <w:bCs/>
          <w:sz w:val="28"/>
          <w:szCs w:val="28"/>
          <w:u w:val="single"/>
        </w:rPr>
        <w:t>，</w:t>
      </w:r>
      <w:r>
        <w:rPr>
          <w:b/>
          <w:bCs/>
          <w:sz w:val="28"/>
          <w:szCs w:val="28"/>
          <w:u w:val="single"/>
        </w:rPr>
        <w:t>市场认可度极高。</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公司搭建了灵活的全员拓市机制，同时实行分层对接模式，高端央企、部委大额资源订单由核心创始人主导对接，管理团队依托自身行业资源同步参与市场拓展，敲定合作后由专属团队落地执行。供货层面采用差异化排序原则，优先保障决策高效、提前对接落地的市场化企业供货需求。</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凭借独特的资源与技术优势，公司形成了极强的核心竞争力。政企资源方面，创始人具备国资委工作背景，深耕央企管理领域，与各大中央部委、央企及地方政府保持深度联动，拥有多数民营半导体企业不具备的资源壁垒，市场拓展阻力极小；技术层面，公司新一代自研GPU</w:t>
      </w:r>
      <w:r>
        <w:rPr>
          <w:rFonts w:hint="eastAsia"/>
          <w:b/>
          <w:bCs/>
          <w:sz w:val="28"/>
          <w:szCs w:val="28"/>
          <w:u w:val="single"/>
        </w:rPr>
        <w:t xml:space="preserve"> FP8</w:t>
      </w:r>
      <w:r>
        <w:rPr>
          <w:b/>
          <w:bCs/>
          <w:sz w:val="28"/>
          <w:szCs w:val="28"/>
          <w:u w:val="single"/>
        </w:rPr>
        <w:t>性能可达英伟达H200</w:t>
      </w:r>
      <w:r>
        <w:rPr>
          <w:rFonts w:hint="eastAsia"/>
          <w:b/>
          <w:bCs/>
          <w:sz w:val="28"/>
          <w:szCs w:val="28"/>
          <w:u w:val="single"/>
        </w:rPr>
        <w:t>，FP4指标H200没有，是华为950PR性能的2倍</w:t>
      </w:r>
      <w:r>
        <w:rPr>
          <w:b/>
          <w:bCs/>
          <w:sz w:val="28"/>
          <w:szCs w:val="28"/>
          <w:u w:val="single"/>
        </w:rPr>
        <w:t>，兼具性能领先、国产化安全可控、成本低廉的多重优势，彻底规避海外芯片安全隐患。同时企业获得工信部、科技部、发改委等多部委鼎力背书，广西、杭州、宁波、成都等多地政府主动邀约项目落地，政策资源持续加持，当前整体市场呈现订单充足、产能供不应求的良好态势，无市场与订单缺口压力。</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长期发展层面，公司坚守清晰的经营理念与价值排序，始终践行长期主义发展思路，摒弃短期融资套利、市值炒作的发展模式，专注核心技术攻坚与实体产业落地。团队传承哈工大严谨务实的做事风格，坚持技术成熟、实测达标后再对外输出成果。</w:t>
      </w:r>
    </w:p>
    <w:p>
      <w:pPr>
        <w:widowControl/>
        <w:numPr>
          <w:ilvl w:val="0"/>
          <w:numId w:val="5"/>
        </w:numPr>
        <w:overflowPunct w:val="0"/>
        <w:topLinePunct/>
        <w:adjustRightInd w:val="0"/>
        <w:snapToGrid w:val="0"/>
        <w:spacing w:line="240" w:lineRule="auto"/>
        <w:ind w:firstLineChars="0"/>
        <w:rPr>
          <w:b/>
          <w:bCs/>
          <w:sz w:val="28"/>
          <w:szCs w:val="28"/>
          <w:u w:val="single"/>
        </w:rPr>
      </w:pPr>
      <w:r>
        <w:rPr>
          <w:b/>
          <w:bCs/>
          <w:sz w:val="28"/>
          <w:szCs w:val="28"/>
          <w:u w:val="single"/>
        </w:rPr>
        <w:t>企业价值优先级以国家战略为首要，核心任务是突破国产高端芯片、太空算力核心技术壁垒，完成国家产业攻坚使命；其次兼顾投资方权益，保障投资人合理收益与有序退出；再次兑现核心创业团队的付出与收益，最后考量个人收益，始终以稳健长效的经营模式，推动企业实现高质量可持续发展，坚守企业口碑与社会责任。</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具体内容</w:t>
      </w:r>
    </w:p>
    <w:p>
      <w:pPr>
        <w:widowControl/>
        <w:adjustRightInd w:val="0"/>
        <w:snapToGrid w:val="0"/>
        <w:spacing w:line="240" w:lineRule="auto"/>
        <w:ind w:firstLineChars="0" w:firstLine="0"/>
        <w:jc w:val="left"/>
        <w:rPr>
          <w:b/>
          <w:bCs/>
          <w:sz w:val="28"/>
          <w:szCs w:val="28"/>
        </w:rPr>
      </w:pPr>
      <w:r>
        <w:rPr>
          <w:b/>
          <w:bCs/>
          <w:sz w:val="28"/>
          <w:szCs w:val="28"/>
        </w:rPr>
        <w:t>Q：请介绍一下公司的成立背景与早期发展情况</w:t>
      </w:r>
    </w:p>
    <w:p>
      <w:pPr>
        <w:widowControl/>
        <w:adjustRightInd w:val="0"/>
        <w:snapToGrid w:val="0"/>
        <w:spacing w:line="240" w:lineRule="auto"/>
        <w:ind w:firstLineChars="0" w:firstLine="0"/>
        <w:jc w:val="left"/>
        <w:rPr>
          <w:sz w:val="28"/>
          <w:szCs w:val="28"/>
        </w:rPr>
      </w:pPr>
      <w:r>
        <w:rPr>
          <w:rFonts w:hint="eastAsia"/>
          <w:sz w:val="28"/>
          <w:szCs w:val="28"/>
        </w:rPr>
        <w:t>A：</w:t>
      </w:r>
      <w:r>
        <w:rPr>
          <w:sz w:val="28"/>
          <w:szCs w:val="28"/>
        </w:rPr>
        <w:t>中诚华隆于2017年10月注册成立，企业设立源自中央军委、国务院国资委商调安排，经副总理批示、中央军委会部署落地。公司创始团队从体制内转出创业，早期与总参三部合作，核心开展</w:t>
      </w:r>
      <w:r>
        <w:rPr>
          <w:rFonts w:hint="eastAsia"/>
          <w:sz w:val="28"/>
          <w:szCs w:val="28"/>
        </w:rPr>
        <w:t>申威</w:t>
      </w:r>
      <w:r>
        <w:rPr>
          <w:sz w:val="28"/>
          <w:szCs w:val="28"/>
        </w:rPr>
        <w:t>技术体系产业化及对外落地推广工作。公司早期选择先做整机业务，核心目的是贴近市场、深度摸排客户真实需求，避免脱离实际场景的纯科研式芯片研发，为后续自研芯片业务打下市场基础。</w:t>
      </w:r>
    </w:p>
    <w:p>
      <w:pPr>
        <w:widowControl/>
        <w:adjustRightInd w:val="0"/>
        <w:snapToGrid w:val="0"/>
        <w:spacing w:line="240" w:lineRule="auto"/>
        <w:ind w:firstLineChars="0" w:firstLine="0"/>
        <w:jc w:val="left"/>
        <w:rPr>
          <w:b/>
          <w:bCs/>
          <w:sz w:val="28"/>
          <w:szCs w:val="28"/>
        </w:rPr>
      </w:pPr>
      <w:r>
        <w:rPr>
          <w:b/>
          <w:bCs/>
          <w:sz w:val="28"/>
          <w:szCs w:val="28"/>
        </w:rPr>
        <w:t>Q：请介绍公司芯片产品迭代节奏与产品发布理念</w:t>
      </w:r>
    </w:p>
    <w:p>
      <w:pPr>
        <w:widowControl/>
        <w:adjustRightInd w:val="0"/>
        <w:snapToGrid w:val="0"/>
        <w:spacing w:line="240" w:lineRule="auto"/>
        <w:ind w:firstLineChars="0" w:firstLine="0"/>
        <w:jc w:val="left"/>
        <w:rPr>
          <w:sz w:val="28"/>
          <w:szCs w:val="28"/>
        </w:rPr>
      </w:pPr>
      <w:r>
        <w:rPr>
          <w:rFonts w:hint="eastAsia"/>
          <w:sz w:val="28"/>
          <w:szCs w:val="28"/>
        </w:rPr>
        <w:t>A：</w:t>
      </w:r>
      <w:r>
        <w:rPr>
          <w:sz w:val="28"/>
          <w:szCs w:val="28"/>
        </w:rPr>
        <w:t>公司业务迭代分为清晰的两大阶段，第一阶段依靠</w:t>
      </w:r>
      <w:r>
        <w:rPr>
          <w:rFonts w:hint="eastAsia"/>
          <w:sz w:val="28"/>
          <w:szCs w:val="28"/>
        </w:rPr>
        <w:t>基于申威CPU的</w:t>
      </w:r>
      <w:r>
        <w:rPr>
          <w:sz w:val="28"/>
          <w:szCs w:val="28"/>
        </w:rPr>
        <w:t>整机业务</w:t>
      </w:r>
      <w:r>
        <w:rPr>
          <w:rFonts w:hint="eastAsia"/>
          <w:sz w:val="28"/>
          <w:szCs w:val="28"/>
        </w:rPr>
        <w:t>，</w:t>
      </w:r>
      <w:r>
        <w:rPr>
          <w:sz w:val="28"/>
          <w:szCs w:val="28"/>
        </w:rPr>
        <w:t>摸底市场需求，第二阶段正式布局自研芯片赛道，优先落地市场化前景更好的GPU产品。公司第一代GPU于202</w:t>
      </w:r>
      <w:r>
        <w:rPr>
          <w:rFonts w:hint="eastAsia"/>
          <w:sz w:val="28"/>
          <w:szCs w:val="28"/>
        </w:rPr>
        <w:t>5</w:t>
      </w:r>
      <w:r>
        <w:rPr>
          <w:sz w:val="28"/>
          <w:szCs w:val="28"/>
        </w:rPr>
        <w:t>年11月19日正式发布，预计2026年年底推出新一代GPU，</w:t>
      </w:r>
      <w:r>
        <w:rPr>
          <w:rFonts w:hint="eastAsia"/>
          <w:sz w:val="28"/>
          <w:szCs w:val="28"/>
        </w:rPr>
        <w:t>2027年6月底</w:t>
      </w:r>
      <w:r>
        <w:rPr>
          <w:sz w:val="28"/>
          <w:szCs w:val="28"/>
        </w:rPr>
        <w:t>CPU产品也将落地，目前QPU超导量子芯片已完成研发成型。</w:t>
      </w:r>
    </w:p>
    <w:p>
      <w:pPr>
        <w:widowControl/>
        <w:adjustRightInd w:val="0"/>
        <w:snapToGrid w:val="0"/>
        <w:spacing w:line="240" w:lineRule="auto"/>
        <w:ind w:firstLineChars="0" w:firstLine="0"/>
        <w:jc w:val="left"/>
        <w:rPr>
          <w:sz w:val="28"/>
          <w:szCs w:val="28"/>
        </w:rPr>
      </w:pPr>
      <w:r>
        <w:rPr>
          <w:sz w:val="28"/>
          <w:szCs w:val="28"/>
        </w:rPr>
        <w:t>公司坚持务实的产品发布理念，区别于行业内依靠PPT、概念官宣的模式，所有产品均需完成内测、外测、第三方检测、客户实测等全流程验证，确认成熟后才会对外发布上线</w:t>
      </w:r>
      <w:r>
        <w:rPr>
          <w:rFonts w:hint="eastAsia"/>
          <w:sz w:val="28"/>
          <w:szCs w:val="28"/>
        </w:rPr>
        <w:t xml:space="preserve"> </w:t>
      </w:r>
    </w:p>
    <w:p>
      <w:pPr>
        <w:widowControl/>
        <w:adjustRightInd w:val="0"/>
        <w:snapToGrid w:val="0"/>
        <w:spacing w:line="240" w:lineRule="auto"/>
        <w:ind w:firstLineChars="0" w:firstLine="0"/>
        <w:jc w:val="left"/>
        <w:rPr>
          <w:b/>
          <w:bCs/>
          <w:sz w:val="28"/>
          <w:szCs w:val="28"/>
        </w:rPr>
      </w:pPr>
      <w:r>
        <w:rPr>
          <w:b/>
          <w:bCs/>
          <w:sz w:val="28"/>
          <w:szCs w:val="28"/>
        </w:rPr>
        <w:t>Q：请介绍公司当前核心技术业务布局与太空算力项目进展</w:t>
      </w:r>
    </w:p>
    <w:p>
      <w:pPr>
        <w:widowControl/>
        <w:adjustRightInd w:val="0"/>
        <w:snapToGrid w:val="0"/>
        <w:spacing w:line="240" w:lineRule="auto"/>
        <w:ind w:firstLineChars="0" w:firstLine="0"/>
        <w:jc w:val="left"/>
        <w:rPr>
          <w:sz w:val="28"/>
          <w:szCs w:val="28"/>
        </w:rPr>
      </w:pPr>
      <w:r>
        <w:rPr>
          <w:rFonts w:hint="eastAsia"/>
          <w:sz w:val="28"/>
          <w:szCs w:val="28"/>
        </w:rPr>
        <w:t>A：</w:t>
      </w:r>
      <w:r>
        <w:rPr>
          <w:sz w:val="28"/>
          <w:szCs w:val="28"/>
        </w:rPr>
        <w:t>公司现已形成</w:t>
      </w:r>
      <w:r>
        <w:rPr>
          <w:rFonts w:hint="eastAsia"/>
          <w:sz w:val="28"/>
          <w:szCs w:val="28"/>
        </w:rPr>
        <w:t>覆盖</w:t>
      </w:r>
      <w:r>
        <w:rPr>
          <w:sz w:val="28"/>
          <w:szCs w:val="28"/>
        </w:rPr>
        <w:t>CPU</w:t>
      </w:r>
      <w:r>
        <w:rPr>
          <w:rFonts w:hint="eastAsia"/>
          <w:sz w:val="28"/>
          <w:szCs w:val="28"/>
        </w:rPr>
        <w:t>-</w:t>
      </w:r>
      <w:r>
        <w:rPr>
          <w:sz w:val="28"/>
          <w:szCs w:val="28"/>
        </w:rPr>
        <w:t>GPU</w:t>
      </w:r>
      <w:r>
        <w:rPr>
          <w:rFonts w:hint="eastAsia"/>
          <w:sz w:val="28"/>
          <w:szCs w:val="28"/>
        </w:rPr>
        <w:t>-</w:t>
      </w:r>
      <w:r>
        <w:rPr>
          <w:sz w:val="28"/>
          <w:szCs w:val="28"/>
        </w:rPr>
        <w:t>QPU</w:t>
      </w:r>
      <w:r>
        <w:rPr>
          <w:rFonts w:hint="eastAsia"/>
          <w:sz w:val="28"/>
          <w:szCs w:val="28"/>
        </w:rPr>
        <w:t>的“3</w:t>
      </w:r>
      <w:r>
        <w:rPr>
          <w:sz w:val="28"/>
          <w:szCs w:val="28"/>
        </w:rPr>
        <w:t>U一体</w:t>
      </w:r>
      <w:r>
        <w:rPr>
          <w:rFonts w:hint="eastAsia"/>
          <w:sz w:val="28"/>
          <w:szCs w:val="28"/>
        </w:rPr>
        <w:t>”</w:t>
      </w:r>
      <w:r>
        <w:rPr>
          <w:sz w:val="28"/>
          <w:szCs w:val="28"/>
        </w:rPr>
        <w:t>的核心产品体系，且是国内唯一实现三款产品在数据中心场景全链路打通落地应用的企业，可全面支撑超算、量算数据中心建设运营。同时公司重点布局国家级太空算力中心业务，聚焦中国卫星星链配套算力服务，项目所需芯片、整机均为公司全自主知识产权自研产品，为国内独有。目前公司计划2026年完成卫星设备发射，2027年实现太空算力中心商业化运营。</w:t>
      </w:r>
    </w:p>
    <w:p>
      <w:pPr>
        <w:widowControl/>
        <w:adjustRightInd w:val="0"/>
        <w:snapToGrid w:val="0"/>
        <w:spacing w:line="240" w:lineRule="auto"/>
        <w:ind w:firstLineChars="0" w:firstLine="0"/>
        <w:jc w:val="left"/>
        <w:rPr>
          <w:b/>
          <w:bCs/>
          <w:sz w:val="28"/>
          <w:szCs w:val="28"/>
        </w:rPr>
      </w:pPr>
      <w:r>
        <w:rPr>
          <w:b/>
          <w:bCs/>
          <w:sz w:val="28"/>
          <w:szCs w:val="28"/>
        </w:rPr>
        <w:t>Q：请介绍公司上市整体规划与估值预期</w:t>
      </w:r>
    </w:p>
    <w:p>
      <w:pPr>
        <w:widowControl/>
        <w:adjustRightInd w:val="0"/>
        <w:snapToGrid w:val="0"/>
        <w:spacing w:line="240" w:lineRule="auto"/>
        <w:ind w:firstLineChars="0" w:firstLine="0"/>
        <w:jc w:val="left"/>
        <w:rPr>
          <w:sz w:val="28"/>
          <w:szCs w:val="28"/>
        </w:rPr>
      </w:pPr>
      <w:r>
        <w:rPr>
          <w:rFonts w:hint="eastAsia"/>
          <w:sz w:val="28"/>
          <w:szCs w:val="28"/>
        </w:rPr>
        <w:t>A：</w:t>
      </w:r>
      <w:r>
        <w:rPr>
          <w:sz w:val="28"/>
          <w:szCs w:val="28"/>
        </w:rPr>
        <w:t>公司上市工作已正式启动，深交所创业板第四套方案落地后，中信证券牵头组建了包含国内顶级律师、会计师的全明星服务团队推进上市事宜。公司规划2027年上半年正式递交上市材料，机构保守评估公司上市后整体估值可达2000亿。根据监管规则，公司2026年年底将终止新增融资，同时集中对外发布此前未公开的</w:t>
      </w:r>
      <w:r>
        <w:rPr>
          <w:rFonts w:hint="eastAsia"/>
          <w:sz w:val="28"/>
          <w:szCs w:val="28"/>
        </w:rPr>
        <w:t>最新</w:t>
      </w:r>
      <w:r>
        <w:rPr>
          <w:sz w:val="28"/>
          <w:szCs w:val="28"/>
        </w:rPr>
        <w:t>业务成果，预计年底公司阶段性估值可达到200亿。目前多家投资机构已主动对接合作，公司计划2026年下半年开展三轮融资，目标融资规模</w:t>
      </w:r>
      <w:r>
        <w:rPr>
          <w:rFonts w:hint="eastAsia"/>
          <w:sz w:val="28"/>
          <w:szCs w:val="28"/>
        </w:rPr>
        <w:t>3</w:t>
      </w:r>
      <w:r>
        <w:rPr>
          <w:sz w:val="28"/>
          <w:szCs w:val="28"/>
        </w:rPr>
        <w:t>0亿。</w:t>
      </w:r>
    </w:p>
    <w:p>
      <w:pPr>
        <w:widowControl/>
        <w:adjustRightInd w:val="0"/>
        <w:snapToGrid w:val="0"/>
        <w:spacing w:line="240" w:lineRule="auto"/>
        <w:ind w:firstLineChars="0" w:firstLine="0"/>
        <w:jc w:val="left"/>
        <w:rPr>
          <w:b/>
          <w:bCs/>
          <w:sz w:val="28"/>
          <w:szCs w:val="28"/>
        </w:rPr>
      </w:pPr>
      <w:r>
        <w:rPr>
          <w:b/>
          <w:bCs/>
          <w:sz w:val="28"/>
          <w:szCs w:val="28"/>
        </w:rPr>
        <w:t>Q：当前半导体行业投资规则及公司后续资本运作规划是怎样的？</w:t>
      </w:r>
    </w:p>
    <w:p>
      <w:pPr>
        <w:widowControl/>
        <w:adjustRightInd w:val="0"/>
        <w:snapToGrid w:val="0"/>
        <w:spacing w:line="240" w:lineRule="auto"/>
        <w:ind w:firstLineChars="0" w:firstLine="0"/>
        <w:jc w:val="left"/>
        <w:rPr>
          <w:sz w:val="28"/>
          <w:szCs w:val="28"/>
        </w:rPr>
      </w:pPr>
      <w:r>
        <w:rPr>
          <w:rFonts w:hint="eastAsia"/>
          <w:sz w:val="28"/>
          <w:szCs w:val="28"/>
        </w:rPr>
        <w:t>A：</w:t>
      </w:r>
      <w:r>
        <w:rPr>
          <w:sz w:val="28"/>
          <w:szCs w:val="28"/>
        </w:rPr>
        <w:t>目前国内头部半导体企业已形成投资绑定订单的行业规则，以昆仑芯为例，合作方需采购6亿元芯片订单，才可获得1亿元投资额度，头部企业投资门槛大幅提高。中信证券结合摩尔线程等企业数据测算，公司每新增1亿元营收，对应估值可提升150至200亿元。资本运作层面，因公司业务板块多、资产体量庞大，企业分拆上市实操难度较高，因此公司初步规划优先A股上市，后续推进H股上市。目前</w:t>
      </w:r>
      <w:r>
        <w:rPr>
          <w:rFonts w:hint="eastAsia"/>
          <w:sz w:val="28"/>
          <w:szCs w:val="28"/>
        </w:rPr>
        <w:t>中国国新、</w:t>
      </w:r>
      <w:r>
        <w:rPr>
          <w:sz w:val="28"/>
          <w:szCs w:val="28"/>
        </w:rPr>
        <w:t>中国诚通、大基金三期等国家级资本已主动对接，公司正在统筹筛选合作先后顺序。</w:t>
      </w:r>
    </w:p>
    <w:p>
      <w:pPr>
        <w:widowControl/>
        <w:adjustRightInd w:val="0"/>
        <w:snapToGrid w:val="0"/>
        <w:spacing w:line="240" w:lineRule="auto"/>
        <w:ind w:firstLineChars="0" w:firstLine="0"/>
        <w:jc w:val="left"/>
        <w:rPr>
          <w:b/>
          <w:bCs/>
          <w:sz w:val="28"/>
          <w:szCs w:val="28"/>
        </w:rPr>
      </w:pPr>
      <w:r>
        <w:rPr>
          <w:b/>
          <w:bCs/>
          <w:sz w:val="28"/>
          <w:szCs w:val="28"/>
        </w:rPr>
        <w:t>Q：太空算力板块目前是否已经洽谈、签订相关订单？</w:t>
      </w:r>
    </w:p>
    <w:p>
      <w:pPr>
        <w:widowControl/>
        <w:adjustRightInd w:val="0"/>
        <w:snapToGrid w:val="0"/>
        <w:spacing w:line="240" w:lineRule="auto"/>
        <w:ind w:firstLineChars="0" w:firstLine="0"/>
        <w:jc w:val="left"/>
        <w:rPr>
          <w:sz w:val="28"/>
          <w:szCs w:val="28"/>
        </w:rPr>
      </w:pPr>
      <w:r>
        <w:rPr>
          <w:rFonts w:hint="eastAsia"/>
          <w:sz w:val="28"/>
          <w:szCs w:val="28"/>
        </w:rPr>
        <w:t>A：1.</w:t>
      </w:r>
      <w:r>
        <w:rPr>
          <w:sz w:val="28"/>
          <w:szCs w:val="28"/>
        </w:rPr>
        <w:t>太空算力为国家级战略项目，由国家发改委、军方牵头推进，主要服务国家新增20万颗卫星的配套算力需求，在轨卫星均需依托太空算力中心完成数据传输与运算，市场体量极大。该项目以国家战略需求为核心，不单纯以市场化盈利为导向，国家层面不考量项目成本，同时要求公司全程同步报备项目进展、稳步推进落地。</w:t>
      </w:r>
    </w:p>
    <w:p>
      <w:pPr>
        <w:widowControl/>
        <w:adjustRightInd w:val="0"/>
        <w:snapToGrid w:val="0"/>
        <w:spacing w:line="240" w:lineRule="auto"/>
        <w:ind w:firstLineChars="0" w:firstLine="0"/>
        <w:jc w:val="left"/>
        <w:rPr>
          <w:sz w:val="28"/>
          <w:szCs w:val="28"/>
        </w:rPr>
      </w:pPr>
      <w:r>
        <w:rPr>
          <w:rFonts w:hint="eastAsia"/>
          <w:sz w:val="28"/>
          <w:szCs w:val="28"/>
        </w:rPr>
        <w:t>2.</w:t>
      </w:r>
      <w:r>
        <w:rPr>
          <w:sz w:val="28"/>
          <w:szCs w:val="28"/>
        </w:rPr>
        <w:t>目前太空算力项目暂无市场化订单，整体按国家级项目流程推进。公司将先依托哈工大大型太空及地面实验舱完成全维度技术测试，2026年完成卫星搭载发射。项目核心壁垒为全产业链自主可控，芯片、整机均为自研自有知识产权，无技术后门，安全性、保密性行业领先。</w:t>
      </w:r>
    </w:p>
    <w:p>
      <w:pPr>
        <w:widowControl/>
        <w:adjustRightInd w:val="0"/>
        <w:snapToGrid w:val="0"/>
        <w:spacing w:line="240" w:lineRule="auto"/>
        <w:ind w:firstLineChars="0" w:firstLine="0"/>
        <w:jc w:val="left"/>
        <w:rPr>
          <w:b/>
          <w:bCs/>
          <w:sz w:val="28"/>
          <w:szCs w:val="28"/>
        </w:rPr>
      </w:pPr>
      <w:r>
        <w:rPr>
          <w:b/>
          <w:bCs/>
          <w:sz w:val="28"/>
          <w:szCs w:val="28"/>
        </w:rPr>
        <w:t>Q：公司目前在手订单规模与年内营收目标是多少？</w:t>
      </w:r>
    </w:p>
    <w:p>
      <w:pPr>
        <w:widowControl/>
        <w:adjustRightInd w:val="0"/>
        <w:snapToGrid w:val="0"/>
        <w:spacing w:line="240" w:lineRule="auto"/>
        <w:ind w:firstLineChars="0" w:firstLine="0"/>
        <w:jc w:val="left"/>
        <w:rPr>
          <w:sz w:val="28"/>
          <w:szCs w:val="28"/>
        </w:rPr>
      </w:pPr>
      <w:r>
        <w:rPr>
          <w:rFonts w:hint="eastAsia"/>
          <w:sz w:val="28"/>
          <w:szCs w:val="28"/>
        </w:rPr>
        <w:t>A：</w:t>
      </w:r>
      <w:r>
        <w:rPr>
          <w:sz w:val="28"/>
          <w:szCs w:val="28"/>
        </w:rPr>
        <w:t>公司当前在手订单规模已达6亿多元，市场需求旺盛，结合现有订单储备及意向需求，2026年年底可顺利完成</w:t>
      </w:r>
      <w:r>
        <w:rPr>
          <w:rFonts w:hint="eastAsia"/>
          <w:sz w:val="28"/>
          <w:szCs w:val="28"/>
        </w:rPr>
        <w:t>7</w:t>
      </w:r>
      <w:r>
        <w:rPr>
          <w:sz w:val="28"/>
          <w:szCs w:val="28"/>
        </w:rPr>
        <w:t>亿至</w:t>
      </w:r>
      <w:r>
        <w:rPr>
          <w:rFonts w:hint="eastAsia"/>
          <w:sz w:val="28"/>
          <w:szCs w:val="28"/>
        </w:rPr>
        <w:t>8</w:t>
      </w:r>
      <w:r>
        <w:rPr>
          <w:sz w:val="28"/>
          <w:szCs w:val="28"/>
        </w:rPr>
        <w:t>亿元的年度营收目标。公司订单稳定性极强，在芯片研发前期，公司通过整机业务深度参与通信、能源、大数据中心等行业大客户集采与招标，吃透行业</w:t>
      </w:r>
      <w:r>
        <w:rPr>
          <w:rFonts w:hint="eastAsia"/>
          <w:sz w:val="28"/>
          <w:szCs w:val="28"/>
        </w:rPr>
        <w:t>几十项</w:t>
      </w:r>
      <w:r>
        <w:rPr>
          <w:sz w:val="28"/>
          <w:szCs w:val="28"/>
        </w:rPr>
        <w:t>核心指标与真实需求，自研产品高度贴合市场场景，为订单落地提供核心支撑。</w:t>
      </w:r>
    </w:p>
    <w:p>
      <w:pPr>
        <w:widowControl/>
        <w:adjustRightInd w:val="0"/>
        <w:snapToGrid w:val="0"/>
        <w:spacing w:line="240" w:lineRule="auto"/>
        <w:ind w:firstLineChars="0" w:firstLine="0"/>
        <w:jc w:val="left"/>
        <w:rPr>
          <w:b/>
          <w:bCs/>
          <w:sz w:val="28"/>
          <w:szCs w:val="28"/>
        </w:rPr>
      </w:pPr>
      <w:r>
        <w:rPr>
          <w:b/>
          <w:bCs/>
          <w:sz w:val="28"/>
          <w:szCs w:val="28"/>
        </w:rPr>
        <w:t>Q：公司市场拓展与产品核心竞争优势是什么？</w:t>
      </w:r>
    </w:p>
    <w:p>
      <w:pPr>
        <w:widowControl/>
        <w:adjustRightInd w:val="0"/>
        <w:snapToGrid w:val="0"/>
        <w:spacing w:line="240" w:lineRule="auto"/>
        <w:ind w:firstLineChars="0" w:firstLine="0"/>
        <w:jc w:val="left"/>
        <w:rPr>
          <w:sz w:val="28"/>
          <w:szCs w:val="28"/>
        </w:rPr>
      </w:pPr>
      <w:r>
        <w:rPr>
          <w:rFonts w:hint="eastAsia"/>
          <w:sz w:val="28"/>
          <w:szCs w:val="28"/>
        </w:rPr>
        <w:t>A：1.公司具备极强的政企资源优势，创始人拥有国资委工作背景，长期分管央企董事会工作，与各大中央部委、央企、地方政府核心管理层深度熟识，政企资源壁垒为多数民营半导体企业不具备，国内市场拓展阻力极小。技术产品层面，技术层面，公司新一代自研GPU FP8性能可达英伟达H200，FP4指标H200没有，是华为950PR性能的2倍，性能国内领先，同时具备国产化安全可控、价格更低的双重优势，彻底规避海外芯片安全隐患，市场竞争力突出。</w:t>
      </w:r>
    </w:p>
    <w:p>
      <w:pPr>
        <w:widowControl/>
        <w:adjustRightInd w:val="0"/>
        <w:snapToGrid w:val="0"/>
        <w:spacing w:line="240" w:lineRule="auto"/>
        <w:ind w:firstLineChars="0" w:firstLine="0"/>
        <w:jc w:val="left"/>
        <w:rPr>
          <w:sz w:val="28"/>
          <w:szCs w:val="28"/>
        </w:rPr>
      </w:pPr>
      <w:r>
        <w:rPr>
          <w:rFonts w:hint="eastAsia"/>
          <w:sz w:val="28"/>
          <w:szCs w:val="28"/>
        </w:rPr>
        <w:t>2.</w:t>
      </w:r>
      <w:r>
        <w:rPr>
          <w:sz w:val="28"/>
          <w:szCs w:val="28"/>
        </w:rPr>
        <w:t>公司获得国家及地方层面鼎力扶持，产品发布会有工信部、科技部、发改委、中央网信办等多部委领导到场支持，国家级背书充足。目前广西、杭州、宁波、成都等多地政府主动邀约项目落地，地方政策资源持续加持。现阶段公司整体市场格局为订单充足、产能供不应求，完全不存在市场和订单缺口问题。</w:t>
      </w:r>
    </w:p>
    <w:p>
      <w:pPr>
        <w:widowControl/>
        <w:adjustRightInd w:val="0"/>
        <w:snapToGrid w:val="0"/>
        <w:spacing w:line="240" w:lineRule="auto"/>
        <w:ind w:firstLineChars="0" w:firstLine="0"/>
        <w:jc w:val="left"/>
        <w:rPr>
          <w:b/>
          <w:bCs/>
          <w:sz w:val="28"/>
          <w:szCs w:val="28"/>
        </w:rPr>
      </w:pPr>
      <w:r>
        <w:rPr>
          <w:b/>
          <w:bCs/>
          <w:sz w:val="28"/>
          <w:szCs w:val="28"/>
        </w:rPr>
        <w:t>Q：公司市场订单开拓的分工模式是怎样的？</w:t>
      </w:r>
    </w:p>
    <w:p>
      <w:pPr>
        <w:widowControl/>
        <w:adjustRightInd w:val="0"/>
        <w:snapToGrid w:val="0"/>
        <w:spacing w:line="240" w:lineRule="auto"/>
        <w:ind w:firstLineChars="0" w:firstLine="0"/>
        <w:jc w:val="left"/>
        <w:rPr>
          <w:sz w:val="28"/>
          <w:szCs w:val="28"/>
        </w:rPr>
      </w:pPr>
      <w:r>
        <w:rPr>
          <w:rFonts w:hint="eastAsia"/>
          <w:sz w:val="28"/>
          <w:szCs w:val="28"/>
        </w:rPr>
        <w:t>A：</w:t>
      </w:r>
      <w:r>
        <w:rPr>
          <w:sz w:val="28"/>
          <w:szCs w:val="28"/>
        </w:rPr>
        <w:t>公司市场开拓氛围开放，无严格权限限制，全员均可主动对接洽谈订单，充分调动团队积极性。公司实行分层对接机制，央企、中央部委等高端大额资源订单主要由王总主导对接敲定，合作敲定后由专属业务团队负责后续落地执行。公司核心管理团队均具备自身行业资源，同步参与市场开拓，形成全员拓市的良好格局。</w:t>
      </w:r>
    </w:p>
    <w:p>
      <w:pPr>
        <w:widowControl/>
        <w:adjustRightInd w:val="0"/>
        <w:snapToGrid w:val="0"/>
        <w:spacing w:line="240" w:lineRule="auto"/>
        <w:ind w:firstLineChars="0" w:firstLine="0"/>
        <w:jc w:val="left"/>
        <w:rPr>
          <w:b/>
          <w:bCs/>
          <w:sz w:val="28"/>
          <w:szCs w:val="28"/>
        </w:rPr>
      </w:pPr>
      <w:r>
        <w:rPr>
          <w:b/>
          <w:bCs/>
          <w:sz w:val="28"/>
          <w:szCs w:val="28"/>
        </w:rPr>
        <w:t>Q：公司当前订单结构与新一代芯片市场预约情况如何？</w:t>
      </w:r>
    </w:p>
    <w:p>
      <w:pPr>
        <w:widowControl/>
        <w:adjustRightInd w:val="0"/>
        <w:snapToGrid w:val="0"/>
        <w:spacing w:line="240" w:lineRule="auto"/>
        <w:ind w:firstLineChars="0" w:firstLine="0"/>
        <w:jc w:val="left"/>
        <w:rPr>
          <w:sz w:val="28"/>
          <w:szCs w:val="28"/>
        </w:rPr>
      </w:pPr>
      <w:r>
        <w:rPr>
          <w:rFonts w:hint="eastAsia"/>
          <w:sz w:val="28"/>
          <w:szCs w:val="28"/>
        </w:rPr>
        <w:t>A：</w:t>
      </w:r>
      <w:r>
        <w:rPr>
          <w:sz w:val="28"/>
          <w:szCs w:val="28"/>
        </w:rPr>
        <w:t>公司当前以大额批量订单为核心业务主体，零散小单并非业务重点，主流合作模式为联合建设大型数据中心、批量采购</w:t>
      </w:r>
      <w:r>
        <w:rPr>
          <w:rFonts w:hint="eastAsia"/>
          <w:sz w:val="28"/>
          <w:szCs w:val="28"/>
        </w:rPr>
        <w:t>几百台</w:t>
      </w:r>
      <w:r>
        <w:rPr>
          <w:sz w:val="28"/>
          <w:szCs w:val="28"/>
        </w:rPr>
        <w:t>以上整机设备，同时可承接数据中心整体总包解决方案，单项目营收规模较大。新一代HL200芯片尚未正式发布，已有多家机构提前锁定采购资格，市场认可度极高。</w:t>
      </w:r>
    </w:p>
    <w:p>
      <w:pPr>
        <w:widowControl/>
        <w:adjustRightInd w:val="0"/>
        <w:snapToGrid w:val="0"/>
        <w:spacing w:line="240" w:lineRule="auto"/>
        <w:ind w:firstLineChars="0" w:firstLine="0"/>
        <w:jc w:val="left"/>
        <w:rPr>
          <w:b/>
          <w:bCs/>
          <w:sz w:val="28"/>
          <w:szCs w:val="28"/>
        </w:rPr>
      </w:pPr>
      <w:r>
        <w:rPr>
          <w:b/>
          <w:bCs/>
          <w:sz w:val="28"/>
          <w:szCs w:val="28"/>
        </w:rPr>
        <w:t>Q：公司供货排序原则与产品发布准则是什么？</w:t>
      </w:r>
    </w:p>
    <w:p>
      <w:pPr>
        <w:widowControl/>
        <w:adjustRightInd w:val="0"/>
        <w:snapToGrid w:val="0"/>
        <w:spacing w:line="240" w:lineRule="auto"/>
        <w:ind w:firstLineChars="0" w:firstLine="0"/>
        <w:jc w:val="left"/>
        <w:rPr>
          <w:sz w:val="28"/>
          <w:szCs w:val="28"/>
        </w:rPr>
      </w:pPr>
      <w:r>
        <w:rPr>
          <w:rFonts w:hint="eastAsia"/>
          <w:sz w:val="28"/>
          <w:szCs w:val="28"/>
        </w:rPr>
        <w:t>A：</w:t>
      </w:r>
      <w:r>
        <w:rPr>
          <w:sz w:val="28"/>
          <w:szCs w:val="28"/>
        </w:rPr>
        <w:t>公司供货采取差异化排序原则，优先供货决策效率高、提前对接落地的市场化企业；央国企、政府及部委合作方因决策流程繁琐，供货节奏会适度延后。公司始终坚持务实的经营与产品发布理念，奉行多做少说、先落地后官宣</w:t>
      </w:r>
      <w:r>
        <w:rPr>
          <w:rFonts w:hint="eastAsia"/>
          <w:sz w:val="28"/>
          <w:szCs w:val="28"/>
        </w:rPr>
        <w:t>的</w:t>
      </w:r>
      <w:r>
        <w:rPr>
          <w:sz w:val="28"/>
          <w:szCs w:val="28"/>
        </w:rPr>
        <w:t>原则，所有产品性能均经过内测、客户实测、工信部第三方检测认证，数据真实可查，坚决杜绝行业概念炒作行为。</w:t>
      </w:r>
    </w:p>
    <w:p>
      <w:pPr>
        <w:widowControl/>
        <w:adjustRightInd w:val="0"/>
        <w:snapToGrid w:val="0"/>
        <w:spacing w:line="240" w:lineRule="auto"/>
        <w:ind w:firstLineChars="0" w:firstLine="0"/>
        <w:jc w:val="left"/>
        <w:rPr>
          <w:b/>
          <w:bCs/>
          <w:sz w:val="28"/>
          <w:szCs w:val="28"/>
        </w:rPr>
      </w:pPr>
      <w:r>
        <w:rPr>
          <w:b/>
          <w:bCs/>
          <w:sz w:val="28"/>
          <w:szCs w:val="28"/>
        </w:rPr>
        <w:t>Q：公司长期发展的核心经营理念是什么？</w:t>
      </w:r>
    </w:p>
    <w:p>
      <w:pPr>
        <w:widowControl/>
        <w:adjustRightInd w:val="0"/>
        <w:snapToGrid w:val="0"/>
        <w:spacing w:line="240" w:lineRule="auto"/>
        <w:ind w:firstLineChars="0" w:firstLine="0"/>
        <w:jc w:val="left"/>
        <w:rPr>
          <w:sz w:val="28"/>
          <w:szCs w:val="28"/>
        </w:rPr>
      </w:pPr>
      <w:r>
        <w:rPr>
          <w:rFonts w:hint="eastAsia"/>
          <w:sz w:val="28"/>
          <w:szCs w:val="28"/>
        </w:rPr>
        <w:t>A：</w:t>
      </w:r>
      <w:r>
        <w:rPr>
          <w:sz w:val="28"/>
          <w:szCs w:val="28"/>
        </w:rPr>
        <w:t>公司核心坚持长期主义发展理念，不追逐短期融资收益与短期市值冲高，专注深耕核心技术研发与实体产业落地。团队传承哈工大</w:t>
      </w:r>
      <w:r>
        <w:rPr>
          <w:rFonts w:hint="eastAsia"/>
          <w:sz w:val="28"/>
          <w:szCs w:val="28"/>
        </w:rPr>
        <w:t>“</w:t>
      </w:r>
      <w:r>
        <w:rPr>
          <w:sz w:val="28"/>
          <w:szCs w:val="28"/>
        </w:rPr>
        <w:t>规格严格，功夫到家</w:t>
      </w:r>
      <w:r>
        <w:rPr>
          <w:rFonts w:hint="eastAsia"/>
          <w:sz w:val="28"/>
          <w:szCs w:val="28"/>
        </w:rPr>
        <w:t>”</w:t>
      </w:r>
      <w:r>
        <w:rPr>
          <w:sz w:val="28"/>
          <w:szCs w:val="28"/>
        </w:rPr>
        <w:t>的治学做事风格，坚持技术成熟、实测验证完成后再对外发布成果，力求给市场和客户带来实际惊喜，不依靠概念炒作博取热度。</w:t>
      </w:r>
    </w:p>
    <w:p>
      <w:pPr>
        <w:widowControl/>
        <w:adjustRightInd w:val="0"/>
        <w:snapToGrid w:val="0"/>
        <w:spacing w:line="240" w:lineRule="auto"/>
        <w:ind w:firstLineChars="0" w:firstLine="0"/>
        <w:jc w:val="left"/>
        <w:rPr>
          <w:b/>
          <w:bCs/>
          <w:sz w:val="28"/>
          <w:szCs w:val="28"/>
        </w:rPr>
      </w:pPr>
      <w:r>
        <w:rPr>
          <w:b/>
          <w:bCs/>
          <w:sz w:val="28"/>
          <w:szCs w:val="28"/>
        </w:rPr>
        <w:t>Q：公司创业发展的核心初衷与价值排序是什么？</w:t>
      </w:r>
    </w:p>
    <w:p>
      <w:pPr>
        <w:widowControl/>
        <w:adjustRightInd w:val="0"/>
        <w:snapToGrid w:val="0"/>
        <w:spacing w:line="240" w:lineRule="auto"/>
        <w:ind w:firstLineChars="0" w:firstLine="0"/>
        <w:jc w:val="left"/>
        <w:rPr>
          <w:sz w:val="28"/>
          <w:szCs w:val="28"/>
        </w:rPr>
      </w:pPr>
      <w:r>
        <w:rPr>
          <w:rFonts w:hint="eastAsia"/>
          <w:sz w:val="28"/>
          <w:szCs w:val="28"/>
        </w:rPr>
        <w:t>A：</w:t>
      </w:r>
      <w:r>
        <w:rPr>
          <w:sz w:val="28"/>
          <w:szCs w:val="28"/>
        </w:rPr>
        <w:t>公司发展有清晰的价值优先级排序，首要目标是完成国家赋予的产业攻坚任务，突破国产高端芯片、太空算力核心技术壁垒，落实国家战略布局；其次是回馈投资方，坚守行业口碑，保障投资人合理退出与收益，杜绝短期套利行为；再次是保障核心创业团队收益，兑现团队付出；最后才考量个人收益。创始人具备多年体制内工作经验，高度重视企业口碑与社会责任，坚持稳健长效经营，保障企业可持续高质量发展。</w:t>
      </w:r>
    </w:p>
    <w:p>
      <w:pPr>
        <w:widowControl/>
        <w:adjustRightInd w:val="0"/>
        <w:snapToGrid w:val="0"/>
        <w:spacing w:after="160" w:line="278" w:lineRule="auto"/>
        <w:ind w:firstLineChars="0" w:firstLine="0"/>
        <w:jc w:val="left"/>
        <w:rPr>
          <w:b/>
          <w:bCs/>
          <w:sz w:val="28"/>
          <w:szCs w:val="28"/>
        </w:rPr>
      </w:pPr>
      <w:r>
        <w:rPr>
          <w:b/>
          <w:bCs/>
          <w:sz w:val="28"/>
          <w:szCs w:val="28"/>
        </w:rPr>
        <w:br w:type="page"/>
      </w:r>
    </w:p>
    <w:p>
      <w:pPr>
        <w:widowControl/>
        <w:numPr>
          <w:ilvl w:val="0"/>
          <w:numId w:val="6"/>
        </w:numPr>
        <w:overflowPunct w:val="0"/>
        <w:topLinePunct/>
        <w:adjustRightInd w:val="0"/>
        <w:snapToGrid w:val="0"/>
        <w:spacing w:after="160" w:line="240" w:lineRule="auto"/>
        <w:ind w:firstLineChars="0"/>
        <w:jc w:val="left"/>
        <w:outlineLvl w:val="1"/>
        <w:rPr>
          <w:b/>
          <w:bCs/>
          <w:sz w:val="28"/>
          <w:szCs w:val="28"/>
        </w:rPr>
      </w:pPr>
      <w:bookmarkStart w:id="27" w:name="_Toc231375145"/>
      <w:r>
        <w:rPr>
          <w:rFonts w:hint="eastAsia"/>
          <w:b/>
          <w:bCs/>
          <w:sz w:val="28"/>
          <w:szCs w:val="28"/>
        </w:rPr>
        <w:t>财务融资负责人</w:t>
      </w:r>
      <w:bookmarkEnd w:id="27"/>
    </w:p>
    <w:p>
      <w:pPr>
        <w:widowControl/>
        <w:adjustRightInd w:val="0"/>
        <w:snapToGrid w:val="0"/>
        <w:spacing w:line="240" w:lineRule="auto"/>
        <w:ind w:firstLineChars="0" w:firstLine="0"/>
        <w:jc w:val="left"/>
        <w:rPr>
          <w:b/>
          <w:bCs/>
          <w:sz w:val="28"/>
          <w:szCs w:val="28"/>
        </w:rPr>
      </w:pPr>
      <w:r>
        <w:rPr>
          <w:rFonts w:hint="eastAsia"/>
          <w:b/>
          <w:bCs/>
          <w:sz w:val="28"/>
          <w:szCs w:val="28"/>
        </w:rPr>
        <w:t>访谈时间：2026年5月28日</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关键信息</w:t>
      </w:r>
    </w:p>
    <w:p>
      <w:pPr>
        <w:widowControl/>
        <w:numPr>
          <w:ilvl w:val="0"/>
          <w:numId w:val="7"/>
        </w:numPr>
        <w:overflowPunct w:val="0"/>
        <w:topLinePunct/>
        <w:adjustRightInd w:val="0"/>
        <w:snapToGrid w:val="0"/>
        <w:spacing w:line="240" w:lineRule="auto"/>
        <w:ind w:firstLineChars="0"/>
        <w:rPr>
          <w:b/>
          <w:bCs/>
          <w:sz w:val="28"/>
          <w:szCs w:val="28"/>
          <w:u w:val="single"/>
        </w:rPr>
      </w:pPr>
      <w:r>
        <w:rPr>
          <w:b/>
          <w:bCs/>
          <w:sz w:val="28"/>
          <w:szCs w:val="28"/>
          <w:u w:val="single"/>
        </w:rPr>
        <w:t>汇报人拥有丰富的金融财务与投资从业经验，曾先后任职于普华永道、安永从事审计与咨询工作，后在东方资产负责投资业务，最终加入中诚华隆担任CFO。其并非通过常规社招入职，因前期为公司开展相关工作的能力与成果获得企业创始人认可，结合个人职业发展意愿正式入职，目前全面统筹公司财务、融资所有相关事务。公司财务团队架构清晰、分工明确，下设财务经理、会计、出纳岗位，当前在职人员共四人，且有明确的人员扩招计划，2026年6月初将新增两名内控岗位人员，同时安徽铜陵厂区、北京总部也将分别招聘两名、1-2名财务人员，持续扩充财务团队承载力。</w:t>
      </w:r>
    </w:p>
    <w:p>
      <w:pPr>
        <w:widowControl/>
        <w:numPr>
          <w:ilvl w:val="0"/>
          <w:numId w:val="7"/>
        </w:numPr>
        <w:overflowPunct w:val="0"/>
        <w:topLinePunct/>
        <w:adjustRightInd w:val="0"/>
        <w:snapToGrid w:val="0"/>
        <w:spacing w:line="240" w:lineRule="auto"/>
        <w:ind w:firstLineChars="0"/>
        <w:rPr>
          <w:b/>
          <w:bCs/>
          <w:sz w:val="28"/>
          <w:szCs w:val="28"/>
          <w:u w:val="single"/>
        </w:rPr>
      </w:pPr>
      <w:r>
        <w:rPr>
          <w:b/>
          <w:bCs/>
          <w:sz w:val="28"/>
          <w:szCs w:val="28"/>
          <w:u w:val="single"/>
        </w:rPr>
        <w:t>经营业绩方面，公司两类核心产品毛利率呈现显著差异，整机产品毛利率约20%，芯片产品毛利率可达</w:t>
      </w:r>
      <w:r>
        <w:rPr>
          <w:rFonts w:hint="eastAsia"/>
          <w:b/>
          <w:bCs/>
          <w:sz w:val="28"/>
          <w:szCs w:val="28"/>
          <w:u w:val="single"/>
        </w:rPr>
        <w:t>6</w:t>
      </w:r>
      <w:r>
        <w:rPr>
          <w:b/>
          <w:bCs/>
          <w:sz w:val="28"/>
          <w:szCs w:val="28"/>
          <w:u w:val="single"/>
        </w:rPr>
        <w:t>0%，且不同销售渠道带来的产品毛利率波动整体较小，价差处于行业合理可控范围。近三年公司营收稳步增长但尚未实现盈利，2024年营收1300万元、亏损约4600万元，2025年主营业务收入提升至约4900万元，亏损规模小幅扩大至7300万元左右。2026年1-5月公司确认收入仅数百万元，主要因公司芯片为全新产品，下游客户调试验证周期较长，当年4月签订的大额订单需完成备货、交付、验收后才可确认收入，预计</w:t>
      </w:r>
      <w:r>
        <w:rPr>
          <w:rFonts w:hint="eastAsia"/>
          <w:b/>
          <w:bCs/>
          <w:sz w:val="28"/>
          <w:szCs w:val="28"/>
          <w:u w:val="single"/>
        </w:rPr>
        <w:t>7</w:t>
      </w:r>
      <w:r>
        <w:rPr>
          <w:b/>
          <w:bCs/>
          <w:sz w:val="28"/>
          <w:szCs w:val="28"/>
          <w:u w:val="single"/>
        </w:rPr>
        <w:t>月将落地首批数千片芯片产品收入。公司测算营收规模突破18亿元后可实现整体盈亏平衡，盈利节点预计在2028-2029年，最晚不超过2029年。</w:t>
      </w:r>
    </w:p>
    <w:p>
      <w:pPr>
        <w:widowControl/>
        <w:numPr>
          <w:ilvl w:val="0"/>
          <w:numId w:val="7"/>
        </w:numPr>
        <w:overflowPunct w:val="0"/>
        <w:topLinePunct/>
        <w:adjustRightInd w:val="0"/>
        <w:snapToGrid w:val="0"/>
        <w:spacing w:line="240" w:lineRule="auto"/>
        <w:ind w:firstLineChars="0"/>
        <w:rPr>
          <w:b/>
          <w:bCs/>
          <w:sz w:val="28"/>
          <w:szCs w:val="28"/>
          <w:u w:val="single"/>
        </w:rPr>
      </w:pPr>
      <w:r>
        <w:rPr>
          <w:b/>
          <w:bCs/>
          <w:sz w:val="28"/>
          <w:szCs w:val="28"/>
          <w:u w:val="single"/>
        </w:rPr>
        <w:t>产品成本结构上，公司整机产品成本核心为元器件采购成本，叠加人工成本与设备折旧费用，近年元器件价格大幅上涨成为主要成本变动因素，人工与折旧成本则保持稳定。2023至2025年公司整机生产以外围代工为主，自主生产规模小，人工和折旧成本偏低，随着安徽铜陵新厂区投建，后续设备折旧成本将有所增加。GPU产品成本结构与整机差异较大，核心成本为数千万元级的芯片流片成本，辅以研发人员薪酬、芯片</w:t>
      </w:r>
      <w:r>
        <w:rPr>
          <w:rFonts w:hint="eastAsia"/>
          <w:b/>
          <w:bCs/>
          <w:sz w:val="28"/>
          <w:szCs w:val="28"/>
          <w:u w:val="single"/>
        </w:rPr>
        <w:t>委外</w:t>
      </w:r>
      <w:r>
        <w:rPr>
          <w:b/>
          <w:bCs/>
          <w:sz w:val="28"/>
          <w:szCs w:val="28"/>
          <w:u w:val="single"/>
        </w:rPr>
        <w:t>设计、IP采购及场地、设备折旧等费用，常规元器件采购成本占比偏低。会计核算层面，公司严格遵循会计准则，将首款芯片及后续HL200、CPU等新品的研发、设计、流片支出全部计入研发费用，不做资本化处理，近两年累计研发费用约1亿元，该核算方式与摩尔、沐曦等行业同行保持一致。</w:t>
      </w:r>
    </w:p>
    <w:p>
      <w:pPr>
        <w:widowControl/>
        <w:numPr>
          <w:ilvl w:val="0"/>
          <w:numId w:val="7"/>
        </w:numPr>
        <w:overflowPunct w:val="0"/>
        <w:topLinePunct/>
        <w:adjustRightInd w:val="0"/>
        <w:snapToGrid w:val="0"/>
        <w:spacing w:line="240" w:lineRule="auto"/>
        <w:ind w:firstLineChars="0"/>
        <w:rPr>
          <w:b/>
          <w:bCs/>
          <w:sz w:val="28"/>
          <w:szCs w:val="28"/>
          <w:u w:val="single"/>
        </w:rPr>
      </w:pPr>
      <w:r>
        <w:rPr>
          <w:b/>
          <w:bCs/>
          <w:sz w:val="28"/>
          <w:szCs w:val="28"/>
          <w:u w:val="single"/>
        </w:rPr>
        <w:t>公司业务主要分为整机、芯片及研发服务</w:t>
      </w:r>
      <w:r>
        <w:rPr>
          <w:rFonts w:hint="eastAsia"/>
          <w:b/>
          <w:bCs/>
          <w:sz w:val="28"/>
          <w:szCs w:val="28"/>
          <w:u w:val="single"/>
        </w:rPr>
        <w:t>、解决方案</w:t>
      </w:r>
      <w:r>
        <w:rPr>
          <w:b/>
          <w:bCs/>
          <w:sz w:val="28"/>
          <w:szCs w:val="28"/>
          <w:u w:val="single"/>
        </w:rPr>
        <w:t>三大板块，其中整机业务收入高度关联信创集团集采，2025年与飞拓集团签订的6800万元合同</w:t>
      </w:r>
      <w:r>
        <w:rPr>
          <w:rFonts w:hint="eastAsia"/>
          <w:b/>
          <w:bCs/>
          <w:sz w:val="28"/>
          <w:szCs w:val="28"/>
          <w:u w:val="single"/>
        </w:rPr>
        <w:t>虽有整机，但不涉及</w:t>
      </w:r>
      <w:r>
        <w:rPr>
          <w:b/>
          <w:bCs/>
          <w:sz w:val="28"/>
          <w:szCs w:val="28"/>
          <w:u w:val="single"/>
        </w:rPr>
        <w:t>信创集采收入，芯片业务基本不涉及信创集采，同时公司可为蓝芯等研发能力不足的合作企业提供外包研发服务，获取小额营收。在手订单方面，可确认2025年6800万元订单、2026年光环云3.2亿元订单，</w:t>
      </w:r>
      <w:r>
        <w:rPr>
          <w:rFonts w:hint="eastAsia"/>
          <w:b/>
          <w:bCs/>
          <w:sz w:val="28"/>
          <w:szCs w:val="28"/>
          <w:u w:val="single"/>
        </w:rPr>
        <w:t>格安2.8亿元订单，</w:t>
      </w:r>
      <w:r>
        <w:rPr>
          <w:b/>
          <w:bCs/>
          <w:sz w:val="28"/>
          <w:szCs w:val="28"/>
          <w:u w:val="single"/>
        </w:rPr>
        <w:t>同时存在多笔意向及待执行订单。财务管控上，公司应收账款严格把控账期，常规周期不超过3个月、最长不超半年，仅少量长期客户存在小幅尾款延迟情况；应付账款账期差异化明显，常规款项为60-90天，研发相关款项账期可达大半年，存在个别长期挂账小额款项。此外，公司政府补贴收入金额极低，对整体经营无实质影响。</w:t>
      </w:r>
    </w:p>
    <w:p>
      <w:pPr>
        <w:widowControl/>
        <w:numPr>
          <w:ilvl w:val="0"/>
          <w:numId w:val="7"/>
        </w:numPr>
        <w:overflowPunct w:val="0"/>
        <w:topLinePunct/>
        <w:adjustRightInd w:val="0"/>
        <w:snapToGrid w:val="0"/>
        <w:spacing w:line="240" w:lineRule="auto"/>
        <w:ind w:firstLineChars="0"/>
        <w:rPr>
          <w:b/>
          <w:bCs/>
          <w:sz w:val="28"/>
          <w:szCs w:val="28"/>
          <w:u w:val="single"/>
        </w:rPr>
      </w:pPr>
      <w:r>
        <w:rPr>
          <w:b/>
          <w:bCs/>
          <w:sz w:val="28"/>
          <w:szCs w:val="28"/>
          <w:u w:val="single"/>
        </w:rPr>
        <w:t>财务风险与债务层面，公司不存在债务逾期风险。2025年末报表显示的货币资金百余万、负债两千多万为时点数据，受权责发生制下大额研发费用计提影响，账面数据短期承压，报表出具后公司成功到账7000万融资，财务状况大幅改善，目前净资产亏损仅一千多万元，可通过新一轮融资快速转正。公司2100万银行借款均来自中信、北京银行等长期合作机构，利息按期足额偿还，借款到期可直接续借，无本金偿付压力。</w:t>
      </w:r>
    </w:p>
    <w:p>
      <w:pPr>
        <w:widowControl/>
        <w:numPr>
          <w:ilvl w:val="0"/>
          <w:numId w:val="7"/>
        </w:numPr>
        <w:overflowPunct w:val="0"/>
        <w:topLinePunct/>
        <w:adjustRightInd w:val="0"/>
        <w:snapToGrid w:val="0"/>
        <w:spacing w:line="240" w:lineRule="auto"/>
        <w:ind w:firstLineChars="0"/>
        <w:rPr>
          <w:b/>
          <w:bCs/>
          <w:sz w:val="28"/>
          <w:szCs w:val="28"/>
          <w:u w:val="single"/>
        </w:rPr>
      </w:pPr>
      <w:r>
        <w:rPr>
          <w:b/>
          <w:bCs/>
          <w:sz w:val="28"/>
          <w:szCs w:val="28"/>
          <w:u w:val="single"/>
        </w:rPr>
        <w:t>融资与股权方面，公司成立至今累计融资金额约3亿元，前期资金主要来自创始人亲友、先导集团等产业方，创始人通过老股转让完成注册资本实缴；2025年底至2026年初完成新一轮机构融资，</w:t>
      </w:r>
      <w:r>
        <w:rPr>
          <w:rFonts w:hint="eastAsia"/>
          <w:b/>
          <w:bCs/>
          <w:sz w:val="28"/>
          <w:szCs w:val="28"/>
          <w:u w:val="single"/>
        </w:rPr>
        <w:t>摩予度</w:t>
      </w:r>
      <w:r>
        <w:rPr>
          <w:b/>
          <w:bCs/>
          <w:sz w:val="28"/>
          <w:szCs w:val="28"/>
          <w:u w:val="single"/>
        </w:rPr>
        <w:t>投资</w:t>
      </w:r>
      <w:r>
        <w:rPr>
          <w:rFonts w:hint="eastAsia"/>
          <w:b/>
          <w:bCs/>
          <w:sz w:val="28"/>
          <w:szCs w:val="28"/>
          <w:u w:val="single"/>
        </w:rPr>
        <w:t>2</w:t>
      </w:r>
      <w:r>
        <w:rPr>
          <w:b/>
          <w:bCs/>
          <w:sz w:val="28"/>
          <w:szCs w:val="28"/>
          <w:u w:val="single"/>
        </w:rPr>
        <w:t>000万元、中咨集团通过契约型基金投资</w:t>
      </w:r>
      <w:r>
        <w:rPr>
          <w:rFonts w:hint="eastAsia"/>
          <w:b/>
          <w:bCs/>
          <w:sz w:val="28"/>
          <w:szCs w:val="28"/>
          <w:u w:val="single"/>
        </w:rPr>
        <w:t>56</w:t>
      </w:r>
      <w:r>
        <w:rPr>
          <w:b/>
          <w:bCs/>
          <w:sz w:val="28"/>
          <w:szCs w:val="28"/>
          <w:u w:val="single"/>
        </w:rPr>
        <w:t>00万元。公司将融资划分为两轮机构融资，2025年底的机构投资为内部定义的A轮，当前正在推进市场化B轮融资。此前公司未跟随行业在2022-2023年开展大规模融资，核心原因是彼时无成熟芯片产品落地，直至2024年启动芯片研发、2025年芯片发布并取得官方检测报告后，才具备市场化融资条件。本轮融资初始计划募资7亿元，后结合资本市场节奏调整为分两轮推进，本轮以50亿估值募资，后续将开启90亿估值轮次融资，资金将全部投入GPU、CPU核心产品研发，预计2026年</w:t>
      </w:r>
      <w:r>
        <w:rPr>
          <w:rFonts w:hint="eastAsia"/>
          <w:b/>
          <w:bCs/>
          <w:sz w:val="28"/>
          <w:szCs w:val="28"/>
          <w:u w:val="single"/>
        </w:rPr>
        <w:t>7</w:t>
      </w:r>
      <w:r>
        <w:rPr>
          <w:b/>
          <w:bCs/>
          <w:sz w:val="28"/>
          <w:szCs w:val="28"/>
          <w:u w:val="single"/>
        </w:rPr>
        <w:t>月底完成交割。目前公司融资热度较高，</w:t>
      </w:r>
      <w:r>
        <w:rPr>
          <w:rFonts w:hint="eastAsia"/>
          <w:b/>
          <w:bCs/>
          <w:sz w:val="28"/>
          <w:szCs w:val="28"/>
          <w:u w:val="single"/>
        </w:rPr>
        <w:t>众多机构</w:t>
      </w:r>
      <w:r>
        <w:rPr>
          <w:b/>
          <w:bCs/>
          <w:sz w:val="28"/>
          <w:szCs w:val="28"/>
          <w:u w:val="single"/>
        </w:rPr>
        <w:t>已进场尽调拟投资</w:t>
      </w:r>
      <w:r>
        <w:rPr>
          <w:rFonts w:hint="eastAsia"/>
          <w:b/>
          <w:bCs/>
          <w:sz w:val="28"/>
          <w:szCs w:val="28"/>
          <w:u w:val="single"/>
        </w:rPr>
        <w:t>2</w:t>
      </w:r>
      <w:r>
        <w:rPr>
          <w:b/>
          <w:bCs/>
          <w:sz w:val="28"/>
          <w:szCs w:val="28"/>
          <w:u w:val="single"/>
        </w:rPr>
        <w:t>亿元，多家国家级专项基金等机构已签约保密协议并启动尽调。</w:t>
      </w:r>
    </w:p>
    <w:p>
      <w:pPr>
        <w:widowControl/>
        <w:numPr>
          <w:ilvl w:val="0"/>
          <w:numId w:val="7"/>
        </w:numPr>
        <w:overflowPunct w:val="0"/>
        <w:topLinePunct/>
        <w:adjustRightInd w:val="0"/>
        <w:snapToGrid w:val="0"/>
        <w:spacing w:line="240" w:lineRule="auto"/>
        <w:ind w:firstLineChars="0"/>
        <w:rPr>
          <w:b/>
          <w:bCs/>
          <w:sz w:val="28"/>
          <w:szCs w:val="28"/>
          <w:u w:val="single"/>
        </w:rPr>
      </w:pPr>
      <w:r>
        <w:rPr>
          <w:b/>
          <w:bCs/>
          <w:sz w:val="28"/>
          <w:szCs w:val="28"/>
          <w:u w:val="single"/>
        </w:rPr>
        <w:t>股权结构中，青岛、上海</w:t>
      </w:r>
      <w:r>
        <w:rPr>
          <w:rFonts w:hint="eastAsia"/>
          <w:b/>
          <w:bCs/>
          <w:sz w:val="28"/>
          <w:szCs w:val="28"/>
          <w:u w:val="single"/>
        </w:rPr>
        <w:t>沣</w:t>
      </w:r>
      <w:r>
        <w:rPr>
          <w:b/>
          <w:bCs/>
          <w:sz w:val="28"/>
          <w:szCs w:val="28"/>
          <w:u w:val="single"/>
        </w:rPr>
        <w:t>漾等历史股东均为无实际经营的持股平台，部分为创始人亲友的财务投资主体，部分为高管、员工持股预留平台，前期注册地选择青岛为享受当地返税政策，目前政策已取消，公司正将平台迁移至北京并优化为股权激励平台。创始人亲友股东仅做财务投资，无业务资源赋能，中咨集团是公司核心资源支持方，在订单、融资、项目申报等方面提供重要助力。此外，中咨集团的契约型基金股东因属于资本市场三类股东，不符合上市申报要求，公司正推进主体还原，将其变更为备案有限合伙主体，后续将完成工商变更，该事项不影响资金到账与日常经营。</w:t>
      </w:r>
    </w:p>
    <w:p>
      <w:pPr>
        <w:widowControl/>
        <w:numPr>
          <w:ilvl w:val="0"/>
          <w:numId w:val="7"/>
        </w:numPr>
        <w:overflowPunct w:val="0"/>
        <w:topLinePunct/>
        <w:adjustRightInd w:val="0"/>
        <w:snapToGrid w:val="0"/>
        <w:spacing w:line="240" w:lineRule="auto"/>
        <w:ind w:firstLineChars="0"/>
        <w:rPr>
          <w:b/>
          <w:bCs/>
          <w:sz w:val="28"/>
          <w:szCs w:val="28"/>
          <w:u w:val="single"/>
        </w:rPr>
      </w:pPr>
      <w:r>
        <w:rPr>
          <w:b/>
          <w:bCs/>
          <w:sz w:val="28"/>
          <w:szCs w:val="28"/>
          <w:u w:val="single"/>
        </w:rPr>
        <w:t>资本市场规划方面，公司</w:t>
      </w:r>
      <w:r>
        <w:rPr>
          <w:rFonts w:hint="eastAsia"/>
          <w:b/>
          <w:bCs/>
          <w:sz w:val="28"/>
          <w:szCs w:val="28"/>
          <w:u w:val="single"/>
        </w:rPr>
        <w:t>暂无独立</w:t>
      </w:r>
      <w:r>
        <w:rPr>
          <w:b/>
          <w:bCs/>
          <w:sz w:val="28"/>
          <w:szCs w:val="28"/>
          <w:u w:val="single"/>
        </w:rPr>
        <w:t>港股上市</w:t>
      </w:r>
      <w:r>
        <w:rPr>
          <w:rFonts w:hint="eastAsia"/>
          <w:b/>
          <w:bCs/>
          <w:sz w:val="28"/>
          <w:szCs w:val="28"/>
          <w:u w:val="single"/>
        </w:rPr>
        <w:t>计划</w:t>
      </w:r>
      <w:r>
        <w:rPr>
          <w:b/>
          <w:bCs/>
          <w:sz w:val="28"/>
          <w:szCs w:val="28"/>
          <w:u w:val="single"/>
        </w:rPr>
        <w:t>，优先布局国内资本市场，选定创业板而非科创板。核心原因是科创板为邀请制且公司暂不达标其营收指标，适配申报周期需延后至2029年，而创业板第四套标准聚焦新兴产业、适配研发型企业，契合公司发展现状。公司符合创业板第四套上市标准，属于新一代信息技术新兴产业，需满足上市市值不低于30亿元、最近一年营收不低于2亿元、近三年营收复合增长率不低于30%的要求。目前公司已与中信证券达成全面合作，联合立信等机构推进上市前期筹备，整体上市推进节奏稳步可控。</w:t>
      </w:r>
    </w:p>
    <w:p>
      <w:pPr>
        <w:widowControl/>
        <w:numPr>
          <w:ilvl w:val="0"/>
          <w:numId w:val="7"/>
        </w:numPr>
        <w:overflowPunct w:val="0"/>
        <w:topLinePunct/>
        <w:adjustRightInd w:val="0"/>
        <w:snapToGrid w:val="0"/>
        <w:spacing w:line="240" w:lineRule="auto"/>
        <w:ind w:firstLineChars="0"/>
        <w:rPr>
          <w:b/>
          <w:bCs/>
          <w:sz w:val="28"/>
          <w:szCs w:val="28"/>
          <w:u w:val="single"/>
        </w:rPr>
      </w:pPr>
      <w:r>
        <w:rPr>
          <w:b/>
          <w:bCs/>
          <w:sz w:val="28"/>
          <w:szCs w:val="28"/>
          <w:u w:val="single"/>
        </w:rPr>
        <w:t>未来三年公司业绩增长路径清晰，2026年预计实现主营业务收入7.6亿元，芯片业务营收占比稳定在60%以上，整机业务为剩余营收核心，且公司将全力冲刺更高营收目标；2027年预计整体营收达12亿元；2028年预计营收突破18亿元并实现盈亏平衡。长期来看，芯片业务将持续作为公司核心营收支柱，营收占比维持稳定，净利润水平将随营收规模扩容稳步提升，匹配公司上市发展规划。</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具体内容</w:t>
      </w:r>
    </w:p>
    <w:p>
      <w:pPr>
        <w:widowControl/>
        <w:adjustRightInd w:val="0"/>
        <w:snapToGrid w:val="0"/>
        <w:spacing w:line="240" w:lineRule="auto"/>
        <w:ind w:firstLineChars="0" w:firstLine="0"/>
        <w:jc w:val="left"/>
        <w:rPr>
          <w:b/>
          <w:bCs/>
          <w:sz w:val="28"/>
          <w:szCs w:val="28"/>
        </w:rPr>
      </w:pPr>
      <w:r>
        <w:rPr>
          <w:b/>
          <w:bCs/>
          <w:sz w:val="28"/>
          <w:szCs w:val="28"/>
        </w:rPr>
        <w:t>Q：请介绍一下您完整的个人工作履历，主要包括工作单位及工作职责。</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我曾先后在普华永道、安永从事审计与咨询相关工作，之后入职东方资产负责投资业务，后续加入中诚华隆，目前主要统筹负责公司财务、融资相关全部事务。</w:t>
      </w:r>
    </w:p>
    <w:p>
      <w:pPr>
        <w:widowControl/>
        <w:adjustRightInd w:val="0"/>
        <w:snapToGrid w:val="0"/>
        <w:spacing w:line="240" w:lineRule="auto"/>
        <w:ind w:firstLineChars="0" w:firstLine="0"/>
        <w:jc w:val="left"/>
        <w:rPr>
          <w:b/>
          <w:bCs/>
          <w:sz w:val="28"/>
          <w:szCs w:val="28"/>
        </w:rPr>
      </w:pPr>
      <w:r>
        <w:rPr>
          <w:b/>
          <w:bCs/>
          <w:sz w:val="28"/>
          <w:szCs w:val="28"/>
        </w:rPr>
        <w:t>Q：您加入中诚华隆的契机是什么？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并非</w:t>
      </w:r>
      <w:r>
        <w:rPr>
          <w:rFonts w:hint="eastAsia"/>
          <w:sz w:val="28"/>
          <w:szCs w:val="28"/>
        </w:rPr>
        <w:t>传统</w:t>
      </w:r>
      <w:r>
        <w:rPr>
          <w:sz w:val="28"/>
          <w:szCs w:val="28"/>
        </w:rPr>
        <w:t>社招入职。我此前已提前为公司开展过</w:t>
      </w:r>
      <w:r>
        <w:rPr>
          <w:rFonts w:hint="eastAsia"/>
          <w:sz w:val="28"/>
          <w:szCs w:val="28"/>
        </w:rPr>
        <w:t>咨询</w:t>
      </w:r>
      <w:r>
        <w:rPr>
          <w:sz w:val="28"/>
          <w:szCs w:val="28"/>
        </w:rPr>
        <w:t>工作，工作能力和成果得到公司老板认可，结合我个人的工作发展意愿，最终加入公司。</w:t>
      </w:r>
    </w:p>
    <w:p>
      <w:pPr>
        <w:widowControl/>
        <w:adjustRightInd w:val="0"/>
        <w:snapToGrid w:val="0"/>
        <w:spacing w:line="240" w:lineRule="auto"/>
        <w:ind w:firstLineChars="0" w:firstLine="0"/>
        <w:jc w:val="left"/>
        <w:rPr>
          <w:b/>
          <w:bCs/>
          <w:sz w:val="28"/>
          <w:szCs w:val="28"/>
        </w:rPr>
      </w:pPr>
      <w:r>
        <w:rPr>
          <w:b/>
          <w:bCs/>
          <w:sz w:val="28"/>
          <w:szCs w:val="28"/>
        </w:rPr>
        <w:t>Q：请介绍一下公司目前财务团队的主要架构分工情况。</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我担任公司CFO，团队下设财务经理、会计、出纳岗位，各岗位分工明确，覆盖公司日常财务全流程工作。</w:t>
      </w:r>
    </w:p>
    <w:p>
      <w:pPr>
        <w:widowControl/>
        <w:adjustRightInd w:val="0"/>
        <w:snapToGrid w:val="0"/>
        <w:spacing w:line="240" w:lineRule="auto"/>
        <w:ind w:firstLineChars="0" w:firstLine="0"/>
        <w:jc w:val="left"/>
        <w:rPr>
          <w:b/>
          <w:bCs/>
          <w:sz w:val="28"/>
          <w:szCs w:val="28"/>
        </w:rPr>
      </w:pPr>
      <w:r>
        <w:rPr>
          <w:b/>
          <w:bCs/>
          <w:sz w:val="28"/>
          <w:szCs w:val="28"/>
        </w:rPr>
        <w:t>Q：目前财务团队现有人员数量是多少，后续是否有人员扩充计划？</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目前财务团队在职人员共四人，后续会持续扩招。下个月初内控岗位将新增两名人员，安徽铜陵厂区财务岗位计划招聘两人，北京总部财务岗位计划至少招聘1-2人。</w:t>
      </w:r>
    </w:p>
    <w:p>
      <w:pPr>
        <w:widowControl/>
        <w:adjustRightInd w:val="0"/>
        <w:snapToGrid w:val="0"/>
        <w:spacing w:line="240" w:lineRule="auto"/>
        <w:ind w:firstLineChars="0" w:firstLine="0"/>
        <w:jc w:val="left"/>
        <w:rPr>
          <w:b/>
          <w:bCs/>
          <w:sz w:val="28"/>
          <w:szCs w:val="28"/>
        </w:rPr>
      </w:pPr>
      <w:r>
        <w:rPr>
          <w:b/>
          <w:bCs/>
          <w:sz w:val="28"/>
          <w:szCs w:val="28"/>
        </w:rPr>
        <w:t>Q：请介绍公司近三年整体营收、净利润、毛利率情况。</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公司不同产品毛利率差异较大，整机产品毛利率约20%，芯片产品毛利率可达60%。营收方面，2024年营收为1300万元，2025年主营业务收入约4900万元。净利润方面，公司前期处于亏损状态，2024年亏损约4600万元，2025年</w:t>
      </w:r>
      <w:r>
        <w:rPr>
          <w:rFonts w:hint="eastAsia"/>
          <w:sz w:val="28"/>
          <w:szCs w:val="28"/>
        </w:rPr>
        <w:t>亏损7300万左右</w:t>
      </w:r>
      <w:r>
        <w:rPr>
          <w:sz w:val="28"/>
          <w:szCs w:val="28"/>
        </w:rPr>
        <w:t>。</w:t>
      </w:r>
    </w:p>
    <w:p>
      <w:pPr>
        <w:widowControl/>
        <w:adjustRightInd w:val="0"/>
        <w:snapToGrid w:val="0"/>
        <w:spacing w:line="240" w:lineRule="auto"/>
        <w:ind w:firstLineChars="0" w:firstLine="0"/>
        <w:jc w:val="left"/>
        <w:rPr>
          <w:b/>
          <w:bCs/>
          <w:sz w:val="28"/>
          <w:szCs w:val="28"/>
        </w:rPr>
      </w:pPr>
      <w:r>
        <w:rPr>
          <w:b/>
          <w:bCs/>
          <w:sz w:val="28"/>
          <w:szCs w:val="28"/>
        </w:rPr>
        <w:t>Q：整机、芯片产品的毛利率，是否会因销售渠道不同产生较大差异？</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不同销售渠道下产品毛利率存在小幅差异，但整体差异不大。其中整机产品市场竞争充分、价格透明，渠道差异带来的毛利率波动极小；芯片产品虽有价格波动，但不会出现极端价差。目前行业内不同品牌芯片售价本身存在梯度差距，公司对下游客户的售价会合理微调，价差处于合理可控范围。</w:t>
      </w:r>
    </w:p>
    <w:p>
      <w:pPr>
        <w:widowControl/>
        <w:adjustRightInd w:val="0"/>
        <w:snapToGrid w:val="0"/>
        <w:spacing w:line="240" w:lineRule="auto"/>
        <w:ind w:firstLineChars="0" w:firstLine="0"/>
        <w:jc w:val="left"/>
        <w:rPr>
          <w:b/>
          <w:bCs/>
          <w:sz w:val="28"/>
          <w:szCs w:val="28"/>
        </w:rPr>
      </w:pPr>
      <w:r>
        <w:rPr>
          <w:b/>
          <w:bCs/>
          <w:sz w:val="28"/>
          <w:szCs w:val="28"/>
        </w:rPr>
        <w:t>Q：请介绍公司整机产品的成本构成，以及近几年的成本变化趋势。</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整机产品成本主要由元器件采购成本、人工成本、设备折旧费用三部分构成，其中元器件采购成本占比最高。近几年成本核心变化为元器件价格大幅上涨，例如去年内存价格翻倍增长，人工、折旧成本整体保持稳定。2023年至2025年公司整机自主生产规模较小，以外围代工生产为主，人工和折旧成本较低；今年安徽铜陵新厂区投建后，后续设备折旧成本会有所增加，具体成本占比数据可后续查阅公司专项资料。</w:t>
      </w:r>
    </w:p>
    <w:p>
      <w:pPr>
        <w:widowControl/>
        <w:adjustRightInd w:val="0"/>
        <w:snapToGrid w:val="0"/>
        <w:spacing w:line="240" w:lineRule="auto"/>
        <w:ind w:firstLineChars="0" w:firstLine="0"/>
        <w:jc w:val="left"/>
        <w:rPr>
          <w:b/>
          <w:bCs/>
          <w:sz w:val="28"/>
          <w:szCs w:val="28"/>
        </w:rPr>
      </w:pPr>
      <w:r>
        <w:rPr>
          <w:b/>
          <w:bCs/>
          <w:sz w:val="28"/>
          <w:szCs w:val="28"/>
        </w:rPr>
        <w:t>Q：公司GPU产品的成本构成情况是怎样的？</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GPU产品核心成本为芯片流片成本，单款芯片流片成本可达数千万元。其次为研发人员薪酬、芯片外围设计成本、IP采购成本，同时包含场地租金、设备折旧等辅助成本，常规元器件采购成本占比相对偏低。</w:t>
      </w:r>
    </w:p>
    <w:p>
      <w:pPr>
        <w:widowControl/>
        <w:adjustRightInd w:val="0"/>
        <w:snapToGrid w:val="0"/>
        <w:spacing w:line="240" w:lineRule="auto"/>
        <w:ind w:firstLineChars="0" w:firstLine="0"/>
        <w:jc w:val="left"/>
        <w:rPr>
          <w:b/>
          <w:bCs/>
          <w:sz w:val="28"/>
          <w:szCs w:val="28"/>
        </w:rPr>
      </w:pPr>
      <w:r>
        <w:rPr>
          <w:b/>
          <w:bCs/>
          <w:sz w:val="28"/>
          <w:szCs w:val="28"/>
        </w:rPr>
        <w:t>Q：GPU产品各项成本的大致占比情况如何？</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芯片流片费用未计入产品直接成本，全部纳入研发费用核算，因此GPU产品直接成本占比不高。公司近两年累计研发费用约1亿元，主要用于芯片前后端设计、流片工作，产品直接成本仅包含少量人工和物料费用。</w:t>
      </w:r>
    </w:p>
    <w:p>
      <w:pPr>
        <w:widowControl/>
        <w:adjustRightInd w:val="0"/>
        <w:snapToGrid w:val="0"/>
        <w:spacing w:line="240" w:lineRule="auto"/>
        <w:ind w:firstLineChars="0" w:firstLine="0"/>
        <w:jc w:val="left"/>
        <w:rPr>
          <w:b/>
          <w:bCs/>
          <w:sz w:val="28"/>
          <w:szCs w:val="28"/>
        </w:rPr>
      </w:pPr>
      <w:r>
        <w:rPr>
          <w:b/>
          <w:bCs/>
          <w:sz w:val="28"/>
          <w:szCs w:val="28"/>
        </w:rPr>
        <w:t>Q：流片费用计入研发费用的会计核算逻辑是什么？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按照会计准则，项目研究阶段支出全部计入研发费用，开发阶段符合条件可资本化。公司首款芯片相关研发、流片支出均处于研究阶段，因此全额计入研发费用，不做资本化处理。行业内摩尔、</w:t>
      </w:r>
      <w:r>
        <w:rPr>
          <w:rFonts w:hint="eastAsia"/>
          <w:sz w:val="28"/>
          <w:szCs w:val="28"/>
        </w:rPr>
        <w:t>沐曦</w:t>
      </w:r>
      <w:r>
        <w:rPr>
          <w:sz w:val="28"/>
          <w:szCs w:val="28"/>
        </w:rPr>
        <w:t>等同行企业，也均将芯片</w:t>
      </w:r>
      <w:r>
        <w:rPr>
          <w:rFonts w:hint="eastAsia"/>
          <w:sz w:val="28"/>
          <w:szCs w:val="28"/>
        </w:rPr>
        <w:t>首次</w:t>
      </w:r>
      <w:r>
        <w:rPr>
          <w:sz w:val="28"/>
          <w:szCs w:val="28"/>
        </w:rPr>
        <w:t>流片费用全额计入研发费用，无资本化资产计提操作。</w:t>
      </w:r>
    </w:p>
    <w:p>
      <w:pPr>
        <w:widowControl/>
        <w:adjustRightInd w:val="0"/>
        <w:snapToGrid w:val="0"/>
        <w:spacing w:line="240" w:lineRule="auto"/>
        <w:ind w:firstLineChars="0" w:firstLine="0"/>
        <w:jc w:val="left"/>
        <w:rPr>
          <w:b/>
          <w:bCs/>
          <w:sz w:val="28"/>
          <w:szCs w:val="28"/>
        </w:rPr>
      </w:pPr>
      <w:r>
        <w:rPr>
          <w:b/>
          <w:bCs/>
          <w:sz w:val="28"/>
          <w:szCs w:val="28"/>
        </w:rPr>
        <w:t>Q：公司后续HL200、CPU等新品研发支出，是否同样计入研发费用？</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是的，公司HL200、CPU等后续新品的所有研发、设计、流片相关支出，均统一计入研发费用核算。</w:t>
      </w:r>
    </w:p>
    <w:p>
      <w:pPr>
        <w:widowControl/>
        <w:adjustRightInd w:val="0"/>
        <w:snapToGrid w:val="0"/>
        <w:spacing w:line="240" w:lineRule="auto"/>
        <w:ind w:firstLineChars="0" w:firstLine="0"/>
        <w:jc w:val="left"/>
        <w:rPr>
          <w:b/>
          <w:bCs/>
          <w:sz w:val="28"/>
          <w:szCs w:val="28"/>
        </w:rPr>
      </w:pPr>
      <w:r>
        <w:rPr>
          <w:b/>
          <w:bCs/>
          <w:sz w:val="28"/>
          <w:szCs w:val="28"/>
        </w:rPr>
        <w:t>Q：公司参与信创集采的整体情况如何？集采业务营收占总营收比例为多少？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公司整机业务收入大部分与信创集团集采业务相关，芯片业务收入基本不涉及信创集采。2025年公司与飞拓集团签订6800万元合同并完成部分执行，该部分</w:t>
      </w:r>
      <w:r>
        <w:rPr>
          <w:rFonts w:hint="eastAsia"/>
          <w:sz w:val="28"/>
          <w:szCs w:val="28"/>
        </w:rPr>
        <w:t>不</w:t>
      </w:r>
      <w:r>
        <w:rPr>
          <w:sz w:val="28"/>
          <w:szCs w:val="28"/>
        </w:rPr>
        <w:t>属于信创集采收入。除此之外，公司的计算服务器销售收入、研发服务类收入，均与信创集采无关。</w:t>
      </w:r>
    </w:p>
    <w:p>
      <w:pPr>
        <w:widowControl/>
        <w:adjustRightInd w:val="0"/>
        <w:snapToGrid w:val="0"/>
        <w:spacing w:line="240" w:lineRule="auto"/>
        <w:ind w:firstLineChars="0" w:firstLine="0"/>
        <w:jc w:val="left"/>
        <w:rPr>
          <w:b/>
          <w:bCs/>
          <w:sz w:val="28"/>
          <w:szCs w:val="28"/>
        </w:rPr>
      </w:pPr>
      <w:r>
        <w:rPr>
          <w:b/>
          <w:bCs/>
          <w:sz w:val="28"/>
          <w:szCs w:val="28"/>
        </w:rPr>
        <w:t>Q：研发服务类合同具体是什么业务模式？</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部分合作企业如蓝</w:t>
      </w:r>
      <w:r>
        <w:rPr>
          <w:rFonts w:hint="eastAsia"/>
          <w:sz w:val="28"/>
          <w:szCs w:val="28"/>
        </w:rPr>
        <w:t>芯</w:t>
      </w:r>
      <w:r>
        <w:rPr>
          <w:sz w:val="28"/>
          <w:szCs w:val="28"/>
        </w:rPr>
        <w:t>，自身研发设计能力存在短板，会将相关研发设计工作外包给我司。我司依托自有专业设计团队承接外包研发工作，以此获取小额服务收入。</w:t>
      </w:r>
    </w:p>
    <w:p>
      <w:pPr>
        <w:widowControl/>
        <w:adjustRightInd w:val="0"/>
        <w:snapToGrid w:val="0"/>
        <w:spacing w:line="240" w:lineRule="auto"/>
        <w:ind w:firstLineChars="0" w:firstLine="0"/>
        <w:jc w:val="left"/>
        <w:rPr>
          <w:b/>
          <w:bCs/>
          <w:sz w:val="28"/>
          <w:szCs w:val="28"/>
        </w:rPr>
      </w:pPr>
      <w:r>
        <w:rPr>
          <w:b/>
          <w:bCs/>
          <w:sz w:val="28"/>
          <w:szCs w:val="28"/>
        </w:rPr>
        <w:t>Q：2025年审计报表显示公司货币资金百余万、负债两千多万，公司有无债务偿还规划，是否存在逾期风险？</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不存在债务逾期风险。2025年12月31日的报表数据为时点数据，仅代表当日瞬间财务状态，且按照权责发生制计提了大额研发费用，导致账面数据承压。报表出具后，公司顺利到账7000万融资，财务状况已大幅改善。目前公司净资产亏损仅一千多万，后续通过新一轮融资即可快速转正。</w:t>
      </w:r>
    </w:p>
    <w:p>
      <w:pPr>
        <w:widowControl/>
        <w:adjustRightInd w:val="0"/>
        <w:snapToGrid w:val="0"/>
        <w:spacing w:line="240" w:lineRule="auto"/>
        <w:ind w:firstLineChars="0" w:firstLine="0"/>
        <w:jc w:val="left"/>
        <w:rPr>
          <w:b/>
          <w:bCs/>
          <w:sz w:val="28"/>
          <w:szCs w:val="28"/>
        </w:rPr>
      </w:pPr>
      <w:r>
        <w:rPr>
          <w:b/>
          <w:bCs/>
          <w:sz w:val="28"/>
          <w:szCs w:val="28"/>
        </w:rPr>
        <w:t>Q：公司两千多万银行借款的后续处置方式是什么？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公司2100万银行借款均来自中信、北京银行等长期合作银行，合作关系稳定。公司每期利息均按时足额偿还，借款到期后无需立即偿还本金，可直接办理续借手续，无偿债压力和逾期风险。</w:t>
      </w:r>
    </w:p>
    <w:p>
      <w:pPr>
        <w:widowControl/>
        <w:adjustRightInd w:val="0"/>
        <w:snapToGrid w:val="0"/>
        <w:spacing w:line="240" w:lineRule="auto"/>
        <w:ind w:firstLineChars="0" w:firstLine="0"/>
        <w:jc w:val="left"/>
        <w:rPr>
          <w:b/>
          <w:bCs/>
          <w:sz w:val="28"/>
          <w:szCs w:val="28"/>
        </w:rPr>
      </w:pPr>
      <w:r>
        <w:rPr>
          <w:b/>
          <w:bCs/>
          <w:sz w:val="28"/>
          <w:szCs w:val="28"/>
        </w:rPr>
        <w:t>Q：请介绍公司整体融资历程。</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公司前期融资主要来自老板亲友及先导集团等产业方，老板通过转让部分老股获取资金，全额投入公司完成注册资本实缴。2025年底至2026年初，</w:t>
      </w:r>
      <w:r>
        <w:rPr>
          <w:rFonts w:hint="eastAsia"/>
          <w:sz w:val="28"/>
          <w:szCs w:val="28"/>
        </w:rPr>
        <w:t>魔域</w:t>
      </w:r>
      <w:r>
        <w:rPr>
          <w:sz w:val="28"/>
          <w:szCs w:val="28"/>
        </w:rPr>
        <w:t>度向公司投资1000万元，中咨集团通过契约型基金投资6000万元。公司成立至今，累计融资金额约3亿元。目前公司已与中信证券、立信等机构达成合作，启动上市前期筹备工作。</w:t>
      </w:r>
    </w:p>
    <w:p>
      <w:pPr>
        <w:widowControl/>
        <w:adjustRightInd w:val="0"/>
        <w:snapToGrid w:val="0"/>
        <w:spacing w:line="240" w:lineRule="auto"/>
        <w:ind w:firstLineChars="0" w:firstLine="0"/>
        <w:jc w:val="left"/>
        <w:rPr>
          <w:b/>
          <w:bCs/>
          <w:sz w:val="28"/>
          <w:szCs w:val="28"/>
        </w:rPr>
      </w:pPr>
      <w:r>
        <w:rPr>
          <w:b/>
          <w:bCs/>
          <w:sz w:val="28"/>
          <w:szCs w:val="28"/>
        </w:rPr>
        <w:t>Q：历史股东的背景是什么？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这类主体均为无实际经营业务的持股平台。其中部分是老板亲友的持股主体，属于外部财务投资人；部分为公司高管、员工持股预留平台。前期注册在青岛是为享受当地返税政策，目前相关政策已取消，公司正逐步将这类持股平台变更至北京，后续将优化为员工、高管股权激励平台。</w:t>
      </w:r>
    </w:p>
    <w:p>
      <w:pPr>
        <w:widowControl/>
        <w:adjustRightInd w:val="0"/>
        <w:snapToGrid w:val="0"/>
        <w:spacing w:line="240" w:lineRule="auto"/>
        <w:ind w:firstLineChars="0" w:firstLine="0"/>
        <w:jc w:val="left"/>
        <w:rPr>
          <w:b/>
          <w:bCs/>
          <w:sz w:val="28"/>
          <w:szCs w:val="28"/>
        </w:rPr>
      </w:pPr>
      <w:r>
        <w:rPr>
          <w:b/>
          <w:bCs/>
          <w:sz w:val="28"/>
          <w:szCs w:val="28"/>
        </w:rPr>
        <w:t>Q：老板亲友类股东是否会纳入股权激励平台，是否为公司带来业务资源？</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老板亲友属于外部出资股东，不会纳入公司股权激励平台。该类股东仅为财务投资，未为公司介绍业务、提供产业资源。目前为公司提供核心资源支持的是中咨集团，其在订单获取、融资对接、国家级项目申报等方面均给予公司大力支撑。</w:t>
      </w:r>
    </w:p>
    <w:p>
      <w:pPr>
        <w:widowControl/>
        <w:adjustRightInd w:val="0"/>
        <w:snapToGrid w:val="0"/>
        <w:spacing w:line="240" w:lineRule="auto"/>
        <w:ind w:firstLineChars="0" w:firstLine="0"/>
        <w:jc w:val="left"/>
        <w:rPr>
          <w:b/>
          <w:bCs/>
          <w:sz w:val="28"/>
          <w:szCs w:val="28"/>
        </w:rPr>
      </w:pPr>
      <w:r>
        <w:rPr>
          <w:b/>
          <w:bCs/>
          <w:sz w:val="28"/>
          <w:szCs w:val="28"/>
        </w:rPr>
        <w:t>Q：中咨集团投资的契约型基金股东，为何未完成工商变更？</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契约型基金属于资本市场三类股东，不符合上市申报要求，上市前需要完成清理。目前公司正在推进基金主体还原工作，将契约型基金变更为备案有限合伙主体，完成后即可办理工商变更，不影响投资资金实际到账和公司经营。</w:t>
      </w:r>
    </w:p>
    <w:p>
      <w:pPr>
        <w:widowControl/>
        <w:adjustRightInd w:val="0"/>
        <w:snapToGrid w:val="0"/>
        <w:spacing w:line="240" w:lineRule="auto"/>
        <w:ind w:firstLineChars="0" w:firstLine="0"/>
        <w:jc w:val="left"/>
        <w:rPr>
          <w:b/>
          <w:bCs/>
          <w:sz w:val="28"/>
          <w:szCs w:val="28"/>
        </w:rPr>
      </w:pPr>
      <w:r>
        <w:rPr>
          <w:b/>
          <w:bCs/>
          <w:sz w:val="28"/>
          <w:szCs w:val="28"/>
        </w:rPr>
        <w:t>Q：公司外部机构融资分为几轮？</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计入先导集团投资则为两轮机构融资。公司内部定义的A轮融资，为2025年底中咨集团、</w:t>
      </w:r>
      <w:r>
        <w:rPr>
          <w:rFonts w:hint="eastAsia"/>
          <w:sz w:val="28"/>
          <w:szCs w:val="28"/>
        </w:rPr>
        <w:t>摩予度</w:t>
      </w:r>
      <w:r>
        <w:rPr>
          <w:sz w:val="28"/>
          <w:szCs w:val="28"/>
        </w:rPr>
        <w:t>等备案机构的投资；目前正在推进的新一轮融资，为公司正式面向市场化的B轮融资。</w:t>
      </w:r>
    </w:p>
    <w:p>
      <w:pPr>
        <w:widowControl/>
        <w:adjustRightInd w:val="0"/>
        <w:snapToGrid w:val="0"/>
        <w:spacing w:line="240" w:lineRule="auto"/>
        <w:ind w:firstLineChars="0" w:firstLine="0"/>
        <w:jc w:val="left"/>
        <w:rPr>
          <w:b/>
          <w:bCs/>
          <w:sz w:val="28"/>
          <w:szCs w:val="28"/>
        </w:rPr>
      </w:pPr>
      <w:r>
        <w:rPr>
          <w:b/>
          <w:bCs/>
          <w:sz w:val="28"/>
          <w:szCs w:val="28"/>
        </w:rPr>
        <w:t>Q：行业同行2022年底、2023年初已开启大规模融资，公司为何彼时未开展融资？</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核心原因是公司当时无成熟产品落地。公司2024年2月才正式启动芯片研发项目，2025年11月19日才举办芯片产品发布会，产品落地进度晚于同行。前期无成型产品，无法向资本市场输出成熟的发展逻辑，直至芯片流片成功、完成多轮内外部测试、拿到赛迪官方检测报告后，公司才具备市场化融资的基础条件，2025年底正式启动A轮融资。</w:t>
      </w:r>
    </w:p>
    <w:p>
      <w:pPr>
        <w:widowControl/>
        <w:adjustRightInd w:val="0"/>
        <w:snapToGrid w:val="0"/>
        <w:spacing w:line="240" w:lineRule="auto"/>
        <w:ind w:firstLineChars="0" w:firstLine="0"/>
        <w:jc w:val="left"/>
        <w:rPr>
          <w:b/>
          <w:bCs/>
          <w:sz w:val="28"/>
          <w:szCs w:val="28"/>
        </w:rPr>
      </w:pPr>
      <w:r>
        <w:rPr>
          <w:b/>
          <w:bCs/>
          <w:sz w:val="28"/>
          <w:szCs w:val="28"/>
        </w:rPr>
        <w:t>Q：目前公司新一轮融资的机构对接情况如何？</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当前公司市场化融资热度较高，每日接待3-4家投资机构及地方政府调研团队。</w:t>
      </w:r>
      <w:r>
        <w:rPr>
          <w:rFonts w:hint="eastAsia"/>
          <w:sz w:val="28"/>
          <w:szCs w:val="28"/>
        </w:rPr>
        <w:t>众多机构</w:t>
      </w:r>
      <w:r>
        <w:rPr>
          <w:sz w:val="28"/>
          <w:szCs w:val="28"/>
        </w:rPr>
        <w:t>已进场开展尽调，计划投资1亿元，同时还有国家级专项基金等多家机构已签订保密协议、启动尽调工作，整体意向投资机构数量充足。</w:t>
      </w:r>
    </w:p>
    <w:p>
      <w:pPr>
        <w:widowControl/>
        <w:adjustRightInd w:val="0"/>
        <w:snapToGrid w:val="0"/>
        <w:spacing w:line="240" w:lineRule="auto"/>
        <w:ind w:firstLineChars="0" w:firstLine="0"/>
        <w:jc w:val="left"/>
        <w:rPr>
          <w:b/>
          <w:bCs/>
          <w:sz w:val="28"/>
          <w:szCs w:val="28"/>
        </w:rPr>
      </w:pPr>
      <w:r>
        <w:rPr>
          <w:b/>
          <w:bCs/>
          <w:sz w:val="28"/>
          <w:szCs w:val="28"/>
        </w:rPr>
        <w:t>Q：公司目前在手6.5亿订单是否属实？</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订单数据属于销售部门管辖范畴，财务端无法精准说明全部在手订单，例如，部分已签约但尚未开始执行的订单。我知晓的部分订单信息至少包括：2025年有6800万元订单，2026年4月有光环云3</w:t>
      </w:r>
      <w:r>
        <w:rPr>
          <w:rFonts w:hint="eastAsia"/>
          <w:sz w:val="28"/>
          <w:szCs w:val="28"/>
        </w:rPr>
        <w:t>.2亿</w:t>
      </w:r>
      <w:r>
        <w:rPr>
          <w:sz w:val="28"/>
          <w:szCs w:val="28"/>
        </w:rPr>
        <w:t>元订单，</w:t>
      </w:r>
      <w:r>
        <w:rPr>
          <w:rFonts w:hint="eastAsia"/>
          <w:sz w:val="28"/>
          <w:szCs w:val="28"/>
        </w:rPr>
        <w:t>最近还有格安的两笔合计2.8亿元的订单，</w:t>
      </w:r>
      <w:r>
        <w:rPr>
          <w:sz w:val="28"/>
          <w:szCs w:val="28"/>
        </w:rPr>
        <w:t>同时</w:t>
      </w:r>
      <w:r>
        <w:rPr>
          <w:rFonts w:hint="eastAsia"/>
          <w:sz w:val="28"/>
          <w:szCs w:val="28"/>
        </w:rPr>
        <w:t>还</w:t>
      </w:r>
      <w:r>
        <w:rPr>
          <w:sz w:val="28"/>
          <w:szCs w:val="28"/>
        </w:rPr>
        <w:t>存在多笔意向及待执行订单，具体准确数据需对接销售负责人确认。</w:t>
      </w:r>
    </w:p>
    <w:p>
      <w:pPr>
        <w:widowControl/>
        <w:adjustRightInd w:val="0"/>
        <w:snapToGrid w:val="0"/>
        <w:spacing w:line="240" w:lineRule="auto"/>
        <w:ind w:firstLineChars="0" w:firstLine="0"/>
        <w:jc w:val="left"/>
        <w:rPr>
          <w:b/>
          <w:bCs/>
          <w:sz w:val="28"/>
          <w:szCs w:val="28"/>
        </w:rPr>
      </w:pPr>
      <w:r>
        <w:rPr>
          <w:b/>
          <w:bCs/>
          <w:sz w:val="28"/>
          <w:szCs w:val="28"/>
        </w:rPr>
        <w:t>Q：2026年1-5月公司已确认的收入规模是多少？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1-5月公司确认收入仅五六百万元，不足一千万。主要原因是公司芯片为全新产品，下游客户需要较长时间完成产品调试、验证，大额合作合同2026年4月才正式签订，后续需完成备货、交付、验收流程方可确认收入，预计6月可确认首批数千片芯片产品收入。</w:t>
      </w:r>
    </w:p>
    <w:p>
      <w:pPr>
        <w:widowControl/>
        <w:adjustRightInd w:val="0"/>
        <w:snapToGrid w:val="0"/>
        <w:spacing w:line="240" w:lineRule="auto"/>
        <w:ind w:firstLineChars="0" w:firstLine="0"/>
        <w:jc w:val="left"/>
        <w:rPr>
          <w:b/>
          <w:bCs/>
          <w:sz w:val="28"/>
          <w:szCs w:val="28"/>
        </w:rPr>
      </w:pPr>
      <w:r>
        <w:rPr>
          <w:b/>
          <w:bCs/>
          <w:sz w:val="28"/>
          <w:szCs w:val="28"/>
        </w:rPr>
        <w:t>Q：公司营收达到多少规模可实现盈亏平衡，预计何时达成？</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公司营收规模达到18亿元以上可实现整体盈亏平衡，预计2028-2029年完成盈利目标，最晚不超过2029年，该周期也适配公司上市申报要求。</w:t>
      </w:r>
    </w:p>
    <w:p>
      <w:pPr>
        <w:widowControl/>
        <w:adjustRightInd w:val="0"/>
        <w:snapToGrid w:val="0"/>
        <w:spacing w:line="240" w:lineRule="auto"/>
        <w:ind w:firstLineChars="0" w:firstLine="0"/>
        <w:jc w:val="left"/>
        <w:rPr>
          <w:b/>
          <w:bCs/>
          <w:sz w:val="28"/>
          <w:szCs w:val="28"/>
        </w:rPr>
      </w:pPr>
      <w:r>
        <w:rPr>
          <w:b/>
          <w:bCs/>
          <w:sz w:val="28"/>
          <w:szCs w:val="28"/>
        </w:rPr>
        <w:t>Q：公司计划申报创业板上市，为何不选择科创板？</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不符合科创板上市条件。当前科创板为邀请制，且公司营收指标未达到科创板申报要求；若适配科创板申报周期，需等待至2029年，周期过长。而创业板第四套标准专门扶持新兴产业、研发型企业，适配公司发展现状。</w:t>
      </w:r>
    </w:p>
    <w:p>
      <w:pPr>
        <w:widowControl/>
        <w:adjustRightInd w:val="0"/>
        <w:snapToGrid w:val="0"/>
        <w:spacing w:line="240" w:lineRule="auto"/>
        <w:ind w:firstLineChars="0" w:firstLine="0"/>
        <w:jc w:val="left"/>
        <w:rPr>
          <w:b/>
          <w:bCs/>
          <w:sz w:val="28"/>
          <w:szCs w:val="28"/>
        </w:rPr>
      </w:pPr>
      <w:r>
        <w:rPr>
          <w:b/>
          <w:bCs/>
          <w:sz w:val="28"/>
          <w:szCs w:val="28"/>
        </w:rPr>
        <w:t>Q：公司是否考虑港股上市？</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目前</w:t>
      </w:r>
      <w:r>
        <w:rPr>
          <w:rFonts w:hint="eastAsia"/>
          <w:sz w:val="28"/>
          <w:szCs w:val="28"/>
        </w:rPr>
        <w:t>暂</w:t>
      </w:r>
      <w:r>
        <w:rPr>
          <w:sz w:val="28"/>
          <w:szCs w:val="28"/>
        </w:rPr>
        <w:t>不考虑</w:t>
      </w:r>
      <w:r>
        <w:rPr>
          <w:rFonts w:hint="eastAsia"/>
          <w:sz w:val="28"/>
          <w:szCs w:val="28"/>
        </w:rPr>
        <w:t>独立</w:t>
      </w:r>
      <w:r>
        <w:rPr>
          <w:sz w:val="28"/>
          <w:szCs w:val="28"/>
        </w:rPr>
        <w:t>港股上市。创业板第四套标准是资本市场扶持新兴科技企业的窗口期机遇，国内资本市场上市估值、流动性、政策扶持力度均优于港股，公司将优先把握国内上市窗口。</w:t>
      </w:r>
    </w:p>
    <w:p>
      <w:pPr>
        <w:widowControl/>
        <w:adjustRightInd w:val="0"/>
        <w:snapToGrid w:val="0"/>
        <w:spacing w:line="240" w:lineRule="auto"/>
        <w:ind w:firstLineChars="0" w:firstLine="0"/>
        <w:jc w:val="left"/>
        <w:rPr>
          <w:b/>
          <w:bCs/>
          <w:sz w:val="28"/>
          <w:szCs w:val="28"/>
        </w:rPr>
      </w:pPr>
      <w:r>
        <w:rPr>
          <w:b/>
          <w:bCs/>
          <w:sz w:val="28"/>
          <w:szCs w:val="28"/>
        </w:rPr>
        <w:t>Q：公司与中信证券合作的上市筹备进展如何？上市概率怎样？</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已与中信证券签订全面合作协议，并非正式上市辅导协议。正式上市辅导协议签订后需5个工作日内向交易所备案，目前公司上市前期梳理、筹备工作已全面启动，下周三将联合立信、相关工程机构、中信证券召开上市筹备启动会，整体推进节奏稳步可控。</w:t>
      </w:r>
    </w:p>
    <w:p>
      <w:pPr>
        <w:widowControl/>
        <w:adjustRightInd w:val="0"/>
        <w:snapToGrid w:val="0"/>
        <w:spacing w:line="240" w:lineRule="auto"/>
        <w:ind w:firstLineChars="0" w:firstLine="0"/>
        <w:jc w:val="left"/>
        <w:rPr>
          <w:b/>
          <w:bCs/>
          <w:sz w:val="28"/>
          <w:szCs w:val="28"/>
        </w:rPr>
      </w:pPr>
      <w:r>
        <w:rPr>
          <w:b/>
          <w:bCs/>
          <w:sz w:val="28"/>
          <w:szCs w:val="28"/>
        </w:rPr>
        <w:t>Q：公司适配的创业板第四套上市标准具体要求是什么？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公司属于创业板第四套标准中的新兴产业范畴，对应新一代信息技术行业。具体上市要求为：上市时市值不低于30亿元，最近一年营收不低于2亿元，近三年营收复合增长率不低于30%。</w:t>
      </w:r>
    </w:p>
    <w:p>
      <w:pPr>
        <w:widowControl/>
        <w:adjustRightInd w:val="0"/>
        <w:snapToGrid w:val="0"/>
        <w:spacing w:line="240" w:lineRule="auto"/>
        <w:ind w:firstLineChars="0" w:firstLine="0"/>
        <w:jc w:val="left"/>
        <w:rPr>
          <w:b/>
          <w:bCs/>
          <w:sz w:val="28"/>
          <w:szCs w:val="28"/>
        </w:rPr>
      </w:pPr>
      <w:r>
        <w:rPr>
          <w:b/>
          <w:bCs/>
          <w:sz w:val="28"/>
          <w:szCs w:val="28"/>
        </w:rPr>
        <w:t>Q：公司本轮计划融资金额为多少？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本轮初始计划融资7亿元，为适配资本市场节奏、优化轮次结构，在中信证券建议下调整为分两轮融资，本轮先以50亿估值融资，后续再启动70-90亿估值轮次融资。公司对融资时间节点要求较高，若机构无法在窗口期完成对接，将错失本轮融资机会，需等待下一轮。</w:t>
      </w:r>
    </w:p>
    <w:p>
      <w:pPr>
        <w:widowControl/>
        <w:adjustRightInd w:val="0"/>
        <w:snapToGrid w:val="0"/>
        <w:spacing w:line="240" w:lineRule="auto"/>
        <w:ind w:firstLineChars="0" w:firstLine="0"/>
        <w:jc w:val="left"/>
        <w:rPr>
          <w:b/>
          <w:bCs/>
          <w:sz w:val="28"/>
          <w:szCs w:val="28"/>
        </w:rPr>
      </w:pPr>
      <w:r>
        <w:rPr>
          <w:b/>
          <w:bCs/>
          <w:sz w:val="28"/>
          <w:szCs w:val="28"/>
        </w:rPr>
        <w:t>Q：本轮7亿元融资资金主要用途是什么？重点投向哪些产品研发？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融资资金将全部用于公司核心产品研发，主力投向GPU、CPU两大核心产品线。其中GPU（</w:t>
      </w:r>
      <w:r>
        <w:rPr>
          <w:rFonts w:hint="eastAsia"/>
          <w:sz w:val="28"/>
          <w:szCs w:val="28"/>
        </w:rPr>
        <w:t>CPU</w:t>
      </w:r>
      <w:r>
        <w:rPr>
          <w:sz w:val="28"/>
          <w:szCs w:val="28"/>
        </w:rPr>
        <w:t>7000、HL200系列）研发投入占比约</w:t>
      </w:r>
      <w:r>
        <w:rPr>
          <w:rFonts w:hint="eastAsia"/>
          <w:sz w:val="28"/>
          <w:szCs w:val="28"/>
        </w:rPr>
        <w:t>7</w:t>
      </w:r>
      <w:r>
        <w:rPr>
          <w:sz w:val="28"/>
          <w:szCs w:val="28"/>
        </w:rPr>
        <w:t>0%，剩余大部分资金将投入CPU产品研发，具体精准预算比例需咨询研发板块负责人。</w:t>
      </w:r>
    </w:p>
    <w:p>
      <w:pPr>
        <w:widowControl/>
        <w:adjustRightInd w:val="0"/>
        <w:snapToGrid w:val="0"/>
        <w:spacing w:line="240" w:lineRule="auto"/>
        <w:ind w:firstLineChars="0" w:firstLine="0"/>
        <w:jc w:val="left"/>
        <w:rPr>
          <w:b/>
          <w:bCs/>
          <w:sz w:val="28"/>
          <w:szCs w:val="28"/>
        </w:rPr>
      </w:pPr>
      <w:r>
        <w:rPr>
          <w:b/>
          <w:bCs/>
          <w:sz w:val="28"/>
          <w:szCs w:val="28"/>
        </w:rPr>
        <w:t>Q：本轮融资预计何时完成交割？</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本轮融资计划在2026年</w:t>
      </w:r>
      <w:r>
        <w:rPr>
          <w:rFonts w:hint="eastAsia"/>
          <w:sz w:val="28"/>
          <w:szCs w:val="28"/>
        </w:rPr>
        <w:t>7</w:t>
      </w:r>
      <w:r>
        <w:rPr>
          <w:sz w:val="28"/>
          <w:szCs w:val="28"/>
        </w:rPr>
        <w:t>月底完成交割。</w:t>
      </w:r>
    </w:p>
    <w:p>
      <w:pPr>
        <w:widowControl/>
        <w:adjustRightInd w:val="0"/>
        <w:snapToGrid w:val="0"/>
        <w:spacing w:line="240" w:lineRule="auto"/>
        <w:ind w:firstLineChars="0" w:firstLine="0"/>
        <w:jc w:val="left"/>
        <w:rPr>
          <w:b/>
          <w:bCs/>
          <w:sz w:val="28"/>
          <w:szCs w:val="28"/>
        </w:rPr>
      </w:pPr>
      <w:r>
        <w:rPr>
          <w:b/>
          <w:bCs/>
          <w:sz w:val="28"/>
          <w:szCs w:val="28"/>
        </w:rPr>
        <w:t>Q：公司当前应付账款的平均账期是多少？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公司应付账款账期不统一，存在差异化区间。常规款项账期为60天、90天，部分研发设计相关款项账期较长，可达大半年；目前还有一笔20万元款项，账期已接近两年。</w:t>
      </w:r>
    </w:p>
    <w:p>
      <w:pPr>
        <w:widowControl/>
        <w:adjustRightInd w:val="0"/>
        <w:snapToGrid w:val="0"/>
        <w:spacing w:line="240" w:lineRule="auto"/>
        <w:ind w:firstLineChars="0" w:firstLine="0"/>
        <w:jc w:val="left"/>
        <w:rPr>
          <w:b/>
          <w:bCs/>
          <w:sz w:val="28"/>
          <w:szCs w:val="28"/>
        </w:rPr>
      </w:pPr>
      <w:r>
        <w:rPr>
          <w:b/>
          <w:bCs/>
          <w:sz w:val="28"/>
          <w:szCs w:val="28"/>
        </w:rPr>
        <w:t>Q：公司应收账款账龄结构情况如何？</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应收账款整体账期较短，内部管控要求账期不超过3个月，最长不超过半年。近期新签订的计算服务器相关订单，因存在验收周期，账期会略有延长。受行业商业环境影响，少量长期合作客户存在小幅尾款延迟支付的情况，属于行业正常现象。</w:t>
      </w:r>
    </w:p>
    <w:p>
      <w:pPr>
        <w:widowControl/>
        <w:adjustRightInd w:val="0"/>
        <w:snapToGrid w:val="0"/>
        <w:spacing w:line="240" w:lineRule="auto"/>
        <w:ind w:firstLineChars="0" w:firstLine="0"/>
        <w:jc w:val="left"/>
        <w:rPr>
          <w:b/>
          <w:bCs/>
          <w:sz w:val="28"/>
          <w:szCs w:val="28"/>
        </w:rPr>
      </w:pPr>
      <w:r>
        <w:rPr>
          <w:b/>
          <w:bCs/>
          <w:sz w:val="28"/>
          <w:szCs w:val="28"/>
        </w:rPr>
        <w:t>Q：公司近几年是否有政府补贴收入？</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公司获得的政府补贴金额极少，基本可以忽略不计，对公司经营、营收无实质影响。</w:t>
      </w:r>
    </w:p>
    <w:p>
      <w:pPr>
        <w:widowControl/>
        <w:adjustRightInd w:val="0"/>
        <w:snapToGrid w:val="0"/>
        <w:spacing w:line="240" w:lineRule="auto"/>
        <w:ind w:firstLineChars="0" w:firstLine="0"/>
        <w:jc w:val="left"/>
        <w:rPr>
          <w:b/>
          <w:bCs/>
          <w:sz w:val="28"/>
          <w:szCs w:val="28"/>
        </w:rPr>
      </w:pPr>
      <w:r>
        <w:rPr>
          <w:b/>
          <w:bCs/>
          <w:sz w:val="28"/>
          <w:szCs w:val="28"/>
        </w:rPr>
        <w:t>Q：请介绍公司未来三年营收、净利润目标，以及各业务板块的营收贡献率目标。</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2026年公司预计实现主营业务收入7.6亿元，其中芯片业务营收5亿，整机业务为剩余营收主力，老板对该目标仍不满意，要求销售团队冲刺更高营收规模。2027年预计整体营收达到12亿元，2028年预计营收超过18亿元，实现盈亏平衡。长期来看，芯片业务将持续作为核心营收板块，营收占比稳定维持在6</w:t>
      </w:r>
      <w:r>
        <w:rPr>
          <w:rFonts w:hint="eastAsia"/>
          <w:sz w:val="28"/>
          <w:szCs w:val="28"/>
        </w:rPr>
        <w:t>0</w:t>
      </w:r>
      <w:r>
        <w:rPr>
          <w:sz w:val="28"/>
          <w:szCs w:val="28"/>
        </w:rPr>
        <w:t>%以上。公司净利润目标同步跟随营收规模提升，2028-2029年实现整体盈利，适配上市业绩要求。</w:t>
      </w:r>
    </w:p>
    <w:p>
      <w:pPr>
        <w:widowControl/>
        <w:adjustRightInd w:val="0"/>
        <w:snapToGrid w:val="0"/>
        <w:spacing w:after="160" w:line="278" w:lineRule="auto"/>
        <w:ind w:firstLineChars="0" w:firstLine="0"/>
        <w:jc w:val="left"/>
        <w:rPr>
          <w:b/>
          <w:bCs/>
          <w:sz w:val="28"/>
          <w:szCs w:val="28"/>
        </w:rPr>
      </w:pPr>
      <w:r>
        <w:rPr>
          <w:b/>
          <w:bCs/>
          <w:sz w:val="28"/>
          <w:szCs w:val="28"/>
        </w:rPr>
        <w:br w:type="page"/>
      </w:r>
    </w:p>
    <w:p>
      <w:pPr>
        <w:widowControl/>
        <w:numPr>
          <w:ilvl w:val="0"/>
          <w:numId w:val="1"/>
        </w:numPr>
        <w:overflowPunct w:val="0"/>
        <w:topLinePunct/>
        <w:adjustRightInd w:val="0"/>
        <w:snapToGrid w:val="0"/>
        <w:spacing w:after="160" w:line="240" w:lineRule="auto"/>
        <w:ind w:firstLineChars="0"/>
        <w:jc w:val="left"/>
        <w:outlineLvl w:val="1"/>
        <w:rPr>
          <w:b/>
          <w:bCs/>
          <w:sz w:val="28"/>
          <w:szCs w:val="28"/>
        </w:rPr>
      </w:pPr>
      <w:bookmarkStart w:id="28" w:name="_Toc231375146"/>
      <w:r>
        <w:rPr>
          <w:rFonts w:hint="eastAsia"/>
          <w:b/>
          <w:bCs/>
          <w:sz w:val="28"/>
          <w:szCs w:val="28"/>
        </w:rPr>
        <w:t>采购负责人</w:t>
      </w:r>
      <w:bookmarkEnd w:id="28"/>
    </w:p>
    <w:p>
      <w:pPr>
        <w:widowControl/>
        <w:adjustRightInd w:val="0"/>
        <w:snapToGrid w:val="0"/>
        <w:spacing w:line="240" w:lineRule="auto"/>
        <w:ind w:firstLineChars="0" w:firstLine="0"/>
        <w:jc w:val="left"/>
        <w:rPr>
          <w:b/>
          <w:bCs/>
          <w:sz w:val="28"/>
          <w:szCs w:val="28"/>
        </w:rPr>
      </w:pPr>
      <w:r>
        <w:rPr>
          <w:rFonts w:hint="eastAsia"/>
          <w:b/>
          <w:bCs/>
          <w:sz w:val="28"/>
          <w:szCs w:val="28"/>
        </w:rPr>
        <w:t>访谈时间：2026年5月28日</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关键信息</w:t>
      </w:r>
    </w:p>
    <w:p>
      <w:pPr>
        <w:widowControl/>
        <w:numPr>
          <w:ilvl w:val="0"/>
          <w:numId w:val="8"/>
        </w:numPr>
        <w:overflowPunct w:val="0"/>
        <w:topLinePunct/>
        <w:adjustRightInd w:val="0"/>
        <w:snapToGrid w:val="0"/>
        <w:spacing w:line="240" w:lineRule="auto"/>
        <w:ind w:firstLineChars="0"/>
        <w:rPr>
          <w:b/>
          <w:bCs/>
          <w:sz w:val="28"/>
          <w:szCs w:val="28"/>
          <w:u w:val="single"/>
        </w:rPr>
      </w:pPr>
      <w:r>
        <w:rPr>
          <w:b/>
          <w:bCs/>
          <w:sz w:val="28"/>
          <w:szCs w:val="28"/>
          <w:u w:val="single"/>
        </w:rPr>
        <w:t>本人拥有十余年计算机行业供应链及整机业务相关从业经验，履历积淀深厚。2008年自北京交通大学毕业后，入职清华同方担任五年采购工程师，深耕全品类计算机物料采购，后期新增一体机运营相关工作；2013年离职后，加入连接器与线束上游创业企业，四年多副总经理任职期间，全权负责业务、工厂、供应链等核心运营工作；随后在联想长风任职六年，主导军工加固机、普通PC服务器、信创全品类计算机的采购、运作、商务计划等国产化整机业务；2023年底正式加入中诚华隆，全面统筹公司采购、质量、生产、仓储四大供应链核心部门工作。选择入职中诚华隆，既有外部行业架构调整的被动因素，也有个人职业发展的主动考量，联想长风拆分后核心聚焦军工业务，原有信创业务体量大幅收缩，而中诚华隆具备向芯片上游产业链延伸的优质发展机遇，能够让我依托多年供应链与整机业务经验，助力公司整机业务高质量发展。</w:t>
      </w:r>
    </w:p>
    <w:p>
      <w:pPr>
        <w:widowControl/>
        <w:numPr>
          <w:ilvl w:val="0"/>
          <w:numId w:val="8"/>
        </w:numPr>
        <w:overflowPunct w:val="0"/>
        <w:topLinePunct/>
        <w:adjustRightInd w:val="0"/>
        <w:snapToGrid w:val="0"/>
        <w:spacing w:line="240" w:lineRule="auto"/>
        <w:ind w:firstLineChars="0"/>
        <w:rPr>
          <w:b/>
          <w:bCs/>
          <w:sz w:val="28"/>
          <w:szCs w:val="28"/>
          <w:u w:val="single"/>
        </w:rPr>
      </w:pPr>
      <w:r>
        <w:rPr>
          <w:b/>
          <w:bCs/>
          <w:sz w:val="28"/>
          <w:szCs w:val="28"/>
          <w:u w:val="single"/>
        </w:rPr>
        <w:t>目前中诚华隆供应链体系下设采购、质量、生产、仓储四大职能模块，人员配置精简，各模块均为专职专人负责，其中采购部门现有一名在岗员工、质量部门两名员工、生产部门两名正式员工、仓储部门一名员工。公司核心业务为服务器整机生产，所需物料实现全品类自主采购，物料品类覆盖全面，主要分为三大类，一是CPU、主板、板卡、内存、硬盘、网卡等核心物料，二是机箱、散热配件、各类连接线、电源线等结构类物料，三是各类生产包装辅料。在核心物料供应上，公司当前服务器整机CPU主要采用申威品牌封装成品单品，采购后以免费寄料方式交由代工厂完成主板组装加工，同时公司并未单一绑定申威路线，持续关注ARM、X86、纯国产三大体系下华为、飞腾、海光、龙芯等国内主流CPU技术路线，已提前调研多品类CPU落地可行性，后续将结合市场布局完善备选方案。</w:t>
      </w:r>
    </w:p>
    <w:p>
      <w:pPr>
        <w:widowControl/>
        <w:numPr>
          <w:ilvl w:val="0"/>
          <w:numId w:val="8"/>
        </w:numPr>
        <w:overflowPunct w:val="0"/>
        <w:topLinePunct/>
        <w:adjustRightInd w:val="0"/>
        <w:snapToGrid w:val="0"/>
        <w:spacing w:line="240" w:lineRule="auto"/>
        <w:ind w:firstLineChars="0"/>
        <w:rPr>
          <w:b/>
          <w:bCs/>
          <w:sz w:val="28"/>
          <w:szCs w:val="28"/>
          <w:u w:val="single"/>
        </w:rPr>
      </w:pPr>
      <w:r>
        <w:rPr>
          <w:b/>
          <w:bCs/>
          <w:sz w:val="28"/>
          <w:szCs w:val="28"/>
          <w:u w:val="single"/>
        </w:rPr>
        <w:t>公司主板元器件代工业务主要与一博科技、联达科星、卓怡恒通三家核心厂商合作，其中一博科技为上市企业，且公司近年持续新增优质代工合作资源，合作厂商均兼具OEM代工与ODM自主研发能力。代工服务采用双重定价核算机制，结合三方公允定价与BOM实际成本核算确定最终费用，给予代工厂的毛利比例稳定维持在10%-15%。物料采购模式处于持续优化迭代阶段，整体呈现多元化特征，初期采用全物料自主采购后供代工厂生产的模式，现阶段优化为“自有库存优先”，CPU、存储等核心关键物料始终坚持公司自主采购，主板二级物料、整机结构类物料等可交由合作代工厂代为采购。而机壳等外观结构配件采用定制化联合研发生产模式，公司筛选国内优质厂商，结合自身产品需求适配改造，由合作厂商按定制标准完成生产交付。</w:t>
      </w:r>
    </w:p>
    <w:p>
      <w:pPr>
        <w:widowControl/>
        <w:numPr>
          <w:ilvl w:val="0"/>
          <w:numId w:val="8"/>
        </w:numPr>
        <w:overflowPunct w:val="0"/>
        <w:topLinePunct/>
        <w:adjustRightInd w:val="0"/>
        <w:snapToGrid w:val="0"/>
        <w:spacing w:line="240" w:lineRule="auto"/>
        <w:ind w:firstLineChars="0"/>
        <w:rPr>
          <w:b/>
          <w:bCs/>
          <w:sz w:val="28"/>
          <w:szCs w:val="28"/>
          <w:u w:val="single"/>
        </w:rPr>
      </w:pPr>
      <w:r>
        <w:rPr>
          <w:b/>
          <w:bCs/>
          <w:sz w:val="28"/>
          <w:szCs w:val="28"/>
          <w:u w:val="single"/>
        </w:rPr>
        <w:t>在业务经营与成本数据方面，2025年公司预计采购服务器整机500台左右，涵盖常规机型与AI机型，单台平均采购成本约5万元。整机BOM成本结构中，常规状态下CPU占比约30%，</w:t>
      </w:r>
      <w:r>
        <w:rPr>
          <w:rFonts w:hint="eastAsia"/>
          <w:b/>
          <w:bCs/>
          <w:sz w:val="28"/>
          <w:szCs w:val="28"/>
          <w:u w:val="single"/>
        </w:rPr>
        <w:t>内存硬盘</w:t>
      </w:r>
      <w:r>
        <w:rPr>
          <w:b/>
          <w:bCs/>
          <w:sz w:val="28"/>
          <w:szCs w:val="28"/>
          <w:u w:val="single"/>
        </w:rPr>
        <w:t>占比</w:t>
      </w:r>
      <w:r>
        <w:rPr>
          <w:rFonts w:hint="eastAsia"/>
          <w:b/>
          <w:bCs/>
          <w:sz w:val="28"/>
          <w:szCs w:val="28"/>
          <w:u w:val="single"/>
        </w:rPr>
        <w:t>40</w:t>
      </w:r>
      <w:r>
        <w:rPr>
          <w:b/>
          <w:bCs/>
          <w:sz w:val="28"/>
          <w:szCs w:val="28"/>
          <w:u w:val="single"/>
        </w:rPr>
        <w:t>%-50%，结构件占比约15%，剩余成本由</w:t>
      </w:r>
      <w:r>
        <w:rPr>
          <w:rFonts w:hint="eastAsia"/>
          <w:b/>
          <w:bCs/>
          <w:sz w:val="28"/>
          <w:szCs w:val="28"/>
          <w:u w:val="single"/>
        </w:rPr>
        <w:t>网卡</w:t>
      </w:r>
      <w:r>
        <w:rPr>
          <w:b/>
          <w:bCs/>
          <w:sz w:val="28"/>
          <w:szCs w:val="28"/>
          <w:u w:val="single"/>
        </w:rPr>
        <w:t>等物料及辅料构成；受2025年5月存储物料大幅涨价影响，存储类物料整体成本占比已提升至40%-50%，成为公司主要成本压力来源。针对物料涨价行情，公司虽提前储备部分存储库存，但因整机业务采用“小步快跑”运营模式、公司核心发力芯片业务，整机备货整体偏保守。公司DRAM、SSD等所有存储物料均为自主采购，核心合作供应商包括三星、长芯、佰维等，且持续对接新厂商开展新品适配合作。2025年末公司1800万存货主要由服务器整机配套BOM物料、CPU及各类配套辅料构成。</w:t>
      </w:r>
    </w:p>
    <w:p>
      <w:pPr>
        <w:widowControl/>
        <w:numPr>
          <w:ilvl w:val="0"/>
          <w:numId w:val="8"/>
        </w:numPr>
        <w:overflowPunct w:val="0"/>
        <w:topLinePunct/>
        <w:adjustRightInd w:val="0"/>
        <w:snapToGrid w:val="0"/>
        <w:spacing w:line="240" w:lineRule="auto"/>
        <w:ind w:firstLineChars="0"/>
        <w:rPr>
          <w:b/>
          <w:bCs/>
          <w:sz w:val="28"/>
          <w:szCs w:val="28"/>
          <w:u w:val="single"/>
        </w:rPr>
      </w:pPr>
      <w:r>
        <w:rPr>
          <w:b/>
          <w:bCs/>
          <w:sz w:val="28"/>
          <w:szCs w:val="28"/>
          <w:u w:val="single"/>
        </w:rPr>
        <w:t>各品类物料采购周期存在明显差异，板卡、CPU等标准化物料采购周期为3-4个月，存储物料受市场行情波动影响，采购周期为2-3个月，结构类物料因生产需前置原材料筹备、排线及多配套部件组装，流程繁琐，采购周期约2个月。供应商账期整体在30天至90天区间，其中CPU物料账期不固定，会根据业务紧急程度与市场行情动态调整，紧急需求下供应商将取消账期。费用预付场景较少，仅新品研发阶段的定制化散热物料需预付部分改模费用，其余常规物料无需预付，该预付模式可依托现有模具小幅改造，有效控制开模成本、提升供货效率。</w:t>
      </w:r>
    </w:p>
    <w:p>
      <w:pPr>
        <w:widowControl/>
        <w:numPr>
          <w:ilvl w:val="0"/>
          <w:numId w:val="8"/>
        </w:numPr>
        <w:overflowPunct w:val="0"/>
        <w:topLinePunct/>
        <w:adjustRightInd w:val="0"/>
        <w:snapToGrid w:val="0"/>
        <w:spacing w:line="240" w:lineRule="auto"/>
        <w:ind w:firstLineChars="0"/>
        <w:rPr>
          <w:b/>
          <w:bCs/>
          <w:sz w:val="28"/>
          <w:szCs w:val="28"/>
          <w:u w:val="single"/>
        </w:rPr>
      </w:pPr>
      <w:r>
        <w:rPr>
          <w:b/>
          <w:bCs/>
          <w:sz w:val="28"/>
          <w:szCs w:val="28"/>
          <w:u w:val="single"/>
        </w:rPr>
        <w:t>公司供应链渠道成熟稳定，无直接海外采购行为，所有海外品类物料均通过国内正规代理商、OEM厂商采购落地，海外货源供应可控。同时公司未被列入美国实体清单，相关清单限制对公司供应链无负面影响，整体供应链体系稳定、风险可控。</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具体内容</w:t>
      </w:r>
    </w:p>
    <w:p>
      <w:pPr>
        <w:widowControl/>
        <w:adjustRightInd w:val="0"/>
        <w:snapToGrid w:val="0"/>
        <w:spacing w:line="240" w:lineRule="auto"/>
        <w:ind w:firstLineChars="0" w:firstLine="0"/>
        <w:jc w:val="left"/>
        <w:rPr>
          <w:b/>
          <w:bCs/>
          <w:sz w:val="28"/>
          <w:szCs w:val="28"/>
        </w:rPr>
      </w:pPr>
      <w:r>
        <w:rPr>
          <w:b/>
          <w:bCs/>
          <w:sz w:val="28"/>
          <w:szCs w:val="28"/>
        </w:rPr>
        <w:t>Q：请简单介绍一下个人过往履历情况。</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我2008年毕业于北京交通大学，毕业后入职清华同方担任采购工程师，任职五年，接触了全品类计算机相关物料。任职最后一年，公司新开展一体机业务，成立专项运营部门，我除采购工作外，新增一体机运营相关职责，2013年底从清华同方离职。随后加入一家主营连接器和线束的上游企业，跟随创始人创业四年多，任职副总经理，全权负责公司业务、工厂管理、供应链等除老板以外的核心工作。之后入职联想长风，任职六年，负责国产化计算机业务，业务涵盖军工加固机、普通PC服务器以及信创全品类计算机产品，工作职责包含采购、运作、商务计划等模块。2023年底加入</w:t>
      </w:r>
      <w:r>
        <w:rPr>
          <w:rFonts w:hint="eastAsia"/>
          <w:sz w:val="28"/>
          <w:szCs w:val="28"/>
        </w:rPr>
        <w:t>中诚华隆</w:t>
      </w:r>
      <w:r>
        <w:rPr>
          <w:sz w:val="28"/>
          <w:szCs w:val="28"/>
        </w:rPr>
        <w:t>，全面负责供应链业务，目前统筹采购、质量、生产、仓储四大部门。</w:t>
      </w:r>
    </w:p>
    <w:p>
      <w:pPr>
        <w:widowControl/>
        <w:adjustRightInd w:val="0"/>
        <w:snapToGrid w:val="0"/>
        <w:spacing w:line="240" w:lineRule="auto"/>
        <w:ind w:firstLineChars="0" w:firstLine="0"/>
        <w:jc w:val="left"/>
        <w:rPr>
          <w:b/>
          <w:bCs/>
          <w:sz w:val="28"/>
          <w:szCs w:val="28"/>
        </w:rPr>
      </w:pPr>
      <w:r>
        <w:rPr>
          <w:b/>
          <w:bCs/>
          <w:sz w:val="28"/>
          <w:szCs w:val="28"/>
        </w:rPr>
        <w:t>Q：您加入</w:t>
      </w:r>
      <w:r>
        <w:rPr>
          <w:rFonts w:hint="eastAsia"/>
          <w:b/>
          <w:bCs/>
          <w:sz w:val="28"/>
          <w:szCs w:val="28"/>
        </w:rPr>
        <w:t>中诚华隆</w:t>
      </w:r>
      <w:r>
        <w:rPr>
          <w:b/>
          <w:bCs/>
          <w:sz w:val="28"/>
          <w:szCs w:val="28"/>
        </w:rPr>
        <w:t>的契机是什么？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一方面是外部企业架构调整的被动原因，联想长风从联想独立拆分后，定位聚焦军工业务，原有信创业务被拆分至新公司联想开天，业务体量大幅收缩。另一方面是主动发展考量，中诚平台具备向芯片上游产业链延伸发展的优质机遇，我可以凭借自身多年供应链、整机业务经验，赋能公司整机业务高质量发展，因此选择加入公司。</w:t>
      </w:r>
    </w:p>
    <w:p>
      <w:pPr>
        <w:widowControl/>
        <w:adjustRightInd w:val="0"/>
        <w:snapToGrid w:val="0"/>
        <w:spacing w:line="240" w:lineRule="auto"/>
        <w:ind w:firstLineChars="0" w:firstLine="0"/>
        <w:jc w:val="left"/>
        <w:rPr>
          <w:b/>
          <w:bCs/>
          <w:sz w:val="28"/>
          <w:szCs w:val="28"/>
        </w:rPr>
      </w:pPr>
      <w:r>
        <w:rPr>
          <w:b/>
          <w:bCs/>
          <w:sz w:val="28"/>
          <w:szCs w:val="28"/>
        </w:rPr>
        <w:t>Q：请介绍公司供应链部门整体架构及人员分布情况。</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公司供应链部门下设采购、质量、生产、仓储四大职能模块。人员配置方面，采购部门原有两名员工，目前刚离职一人；质量部门配置两名员工；生产部门有两名正式员工；仓储部门仅配置一名员工。</w:t>
      </w:r>
    </w:p>
    <w:p>
      <w:pPr>
        <w:widowControl/>
        <w:adjustRightInd w:val="0"/>
        <w:snapToGrid w:val="0"/>
        <w:spacing w:line="240" w:lineRule="auto"/>
        <w:ind w:firstLineChars="0" w:firstLine="0"/>
        <w:jc w:val="left"/>
        <w:rPr>
          <w:b/>
          <w:bCs/>
          <w:sz w:val="28"/>
          <w:szCs w:val="28"/>
        </w:rPr>
      </w:pPr>
      <w:r>
        <w:rPr>
          <w:b/>
          <w:bCs/>
          <w:sz w:val="28"/>
          <w:szCs w:val="28"/>
        </w:rPr>
        <w:t>Q：公司整机业务涉及的采购物料包含哪些品类？</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整机业务以服务器产品为主，服务器生产所需全部物料均为自主采购。核心物料包含CPU、主板、各类小板卡、内存、硬盘、网卡等关键物料；结构类物料包含机箱、挡片、散热配件、高速及低速连接线、电源线等；同时涵盖各类包装辅料，覆盖计算机整机生产所需的全品类物料。</w:t>
      </w:r>
    </w:p>
    <w:p>
      <w:pPr>
        <w:widowControl/>
        <w:adjustRightInd w:val="0"/>
        <w:snapToGrid w:val="0"/>
        <w:spacing w:line="240" w:lineRule="auto"/>
        <w:ind w:firstLineChars="0" w:firstLine="0"/>
        <w:jc w:val="left"/>
        <w:rPr>
          <w:b/>
          <w:bCs/>
          <w:sz w:val="28"/>
          <w:szCs w:val="28"/>
        </w:rPr>
      </w:pPr>
      <w:r>
        <w:rPr>
          <w:b/>
          <w:bCs/>
          <w:sz w:val="28"/>
          <w:szCs w:val="28"/>
        </w:rPr>
        <w:t>Q：目前公司整机使用的CPU主要供应商是哪家？</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公司当前整机产品所用CPU主要为</w:t>
      </w:r>
      <w:r>
        <w:rPr>
          <w:rFonts w:hint="eastAsia"/>
          <w:sz w:val="28"/>
          <w:szCs w:val="28"/>
        </w:rPr>
        <w:t>申威</w:t>
      </w:r>
      <w:r>
        <w:rPr>
          <w:sz w:val="28"/>
          <w:szCs w:val="28"/>
        </w:rPr>
        <w:t>品牌。</w:t>
      </w:r>
    </w:p>
    <w:p>
      <w:pPr>
        <w:widowControl/>
        <w:adjustRightInd w:val="0"/>
        <w:snapToGrid w:val="0"/>
        <w:spacing w:line="240" w:lineRule="auto"/>
        <w:ind w:firstLineChars="0" w:firstLine="0"/>
        <w:jc w:val="left"/>
        <w:rPr>
          <w:sz w:val="28"/>
          <w:szCs w:val="28"/>
        </w:rPr>
      </w:pPr>
      <w:r>
        <w:rPr>
          <w:b/>
          <w:bCs/>
          <w:sz w:val="28"/>
          <w:szCs w:val="28"/>
        </w:rPr>
        <w:t>Q：公司采购的CPU为单品还是封装成品，是否需要后续二次加</w:t>
      </w:r>
      <w:r>
        <w:rPr>
          <w:sz w:val="28"/>
          <w:szCs w:val="28"/>
        </w:rPr>
        <w:t>工？</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公司直接采购封装完成的CPU成品，采购的CPU为独立单品，后续会以免费或寄料的方式提供给代工打板厂，由代工厂完成主板相关组装加工工作。</w:t>
      </w:r>
    </w:p>
    <w:p>
      <w:pPr>
        <w:widowControl/>
        <w:adjustRightInd w:val="0"/>
        <w:snapToGrid w:val="0"/>
        <w:spacing w:line="240" w:lineRule="auto"/>
        <w:ind w:firstLineChars="0" w:firstLine="0"/>
        <w:jc w:val="left"/>
        <w:rPr>
          <w:b/>
          <w:bCs/>
          <w:sz w:val="28"/>
          <w:szCs w:val="28"/>
        </w:rPr>
      </w:pPr>
      <w:r>
        <w:rPr>
          <w:b/>
          <w:bCs/>
          <w:sz w:val="28"/>
          <w:szCs w:val="28"/>
        </w:rPr>
        <w:t>Q：公司主板元器件代工合作供应商有哪些？</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目前主板代工核心合作供应商主要为一</w:t>
      </w:r>
      <w:r>
        <w:rPr>
          <w:rFonts w:hint="eastAsia"/>
          <w:sz w:val="28"/>
          <w:szCs w:val="28"/>
        </w:rPr>
        <w:t>博</w:t>
      </w:r>
      <w:r>
        <w:rPr>
          <w:sz w:val="28"/>
          <w:szCs w:val="28"/>
        </w:rPr>
        <w:t>科技、联达</w:t>
      </w:r>
      <w:r>
        <w:rPr>
          <w:rFonts w:hint="eastAsia"/>
          <w:sz w:val="28"/>
          <w:szCs w:val="28"/>
        </w:rPr>
        <w:t>科</w:t>
      </w:r>
      <w:r>
        <w:rPr>
          <w:sz w:val="28"/>
          <w:szCs w:val="28"/>
        </w:rPr>
        <w:t>星、卓</w:t>
      </w:r>
      <w:r>
        <w:rPr>
          <w:rFonts w:hint="eastAsia"/>
          <w:sz w:val="28"/>
          <w:szCs w:val="28"/>
        </w:rPr>
        <w:t>怡</w:t>
      </w:r>
      <w:r>
        <w:rPr>
          <w:sz w:val="28"/>
          <w:szCs w:val="28"/>
        </w:rPr>
        <w:t>恒通三家，其中一</w:t>
      </w:r>
      <w:r>
        <w:rPr>
          <w:rFonts w:hint="eastAsia"/>
          <w:sz w:val="28"/>
          <w:szCs w:val="28"/>
        </w:rPr>
        <w:t>博</w:t>
      </w:r>
      <w:r>
        <w:rPr>
          <w:sz w:val="28"/>
          <w:szCs w:val="28"/>
        </w:rPr>
        <w:t>科技为上市企业，且近两年公司也新增了部分合作代工厂商。这些厂商既为我们提供OEM代工服务，自身也具备ODM自主研发生产业务。</w:t>
      </w:r>
    </w:p>
    <w:p>
      <w:pPr>
        <w:widowControl/>
        <w:adjustRightInd w:val="0"/>
        <w:snapToGrid w:val="0"/>
        <w:spacing w:line="240" w:lineRule="auto"/>
        <w:ind w:firstLineChars="0" w:firstLine="0"/>
        <w:jc w:val="left"/>
        <w:rPr>
          <w:b/>
          <w:bCs/>
          <w:sz w:val="28"/>
          <w:szCs w:val="28"/>
        </w:rPr>
      </w:pPr>
      <w:r>
        <w:rPr>
          <w:b/>
          <w:bCs/>
          <w:sz w:val="28"/>
          <w:szCs w:val="28"/>
        </w:rPr>
        <w:t>Q：公司代工服务的定价方式是什么？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代工服务定价采用双重核算机制，一方面依托三方公允定价机制核定价格，另一方面通过BOM成本核算方式，精准核算代工服务的实际成本价格，以此确定最终代工费用。</w:t>
      </w:r>
    </w:p>
    <w:p>
      <w:pPr>
        <w:widowControl/>
        <w:adjustRightInd w:val="0"/>
        <w:snapToGrid w:val="0"/>
        <w:spacing w:line="240" w:lineRule="auto"/>
        <w:ind w:firstLineChars="0" w:firstLine="0"/>
        <w:jc w:val="left"/>
        <w:rPr>
          <w:b/>
          <w:bCs/>
          <w:sz w:val="28"/>
          <w:szCs w:val="28"/>
        </w:rPr>
      </w:pPr>
      <w:r>
        <w:rPr>
          <w:b/>
          <w:bCs/>
          <w:sz w:val="28"/>
          <w:szCs w:val="28"/>
        </w:rPr>
        <w:t>Q：代工服务合作中，给到代工厂的毛利比例大概是多少？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目前合作代工厂的代工服务毛利大概在10%-15%区间。</w:t>
      </w:r>
    </w:p>
    <w:p>
      <w:pPr>
        <w:widowControl/>
        <w:adjustRightInd w:val="0"/>
        <w:snapToGrid w:val="0"/>
        <w:spacing w:line="240" w:lineRule="auto"/>
        <w:ind w:firstLineChars="0" w:firstLine="0"/>
        <w:jc w:val="left"/>
        <w:rPr>
          <w:sz w:val="28"/>
          <w:szCs w:val="28"/>
        </w:rPr>
      </w:pPr>
      <w:r>
        <w:rPr>
          <w:b/>
          <w:bCs/>
          <w:sz w:val="28"/>
          <w:szCs w:val="28"/>
        </w:rPr>
        <w:t>Q：物料是否全部由公司采购后发给代工厂？当前物料采购模式是</w:t>
      </w:r>
      <w:r>
        <w:rPr>
          <w:sz w:val="28"/>
          <w:szCs w:val="28"/>
        </w:rPr>
        <w:t>怎样的？</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物料采购模式处于迭代阶段，整体趋向多元化。初期所有物料均由公司自主采购，再免费提供给OEM代工厂用于生产。现阶段公司优化了采购模式，优先使用自有库存物料，同时对于部分物料，可交由合作OEM代工厂代为采购。其中CPU、存储等核心关键物料，始终由公司自主采购，主板二级物料、整机结构类物料等可由合作代工厂代采。</w:t>
      </w:r>
    </w:p>
    <w:p>
      <w:pPr>
        <w:widowControl/>
        <w:adjustRightInd w:val="0"/>
        <w:snapToGrid w:val="0"/>
        <w:spacing w:line="240" w:lineRule="auto"/>
        <w:ind w:firstLineChars="0" w:firstLine="0"/>
        <w:jc w:val="left"/>
        <w:rPr>
          <w:b/>
          <w:bCs/>
          <w:sz w:val="28"/>
          <w:szCs w:val="28"/>
        </w:rPr>
      </w:pPr>
      <w:r>
        <w:rPr>
          <w:b/>
          <w:bCs/>
          <w:sz w:val="28"/>
          <w:szCs w:val="28"/>
        </w:rPr>
        <w:t>Q：产品机壳等外观配件的合作生产模式是什么？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机壳等外观配件采用定制化合作生产模式。公司优先筛选国内主流优质合作厂商及标准化产品，结合自身产品定制化需求，与厂商联合研发适配产品，最终由合作厂商按照定制标准完成生产交付。</w:t>
      </w:r>
    </w:p>
    <w:p>
      <w:pPr>
        <w:widowControl/>
        <w:adjustRightInd w:val="0"/>
        <w:snapToGrid w:val="0"/>
        <w:spacing w:line="240" w:lineRule="auto"/>
        <w:ind w:firstLineChars="0" w:firstLine="0"/>
        <w:jc w:val="left"/>
        <w:rPr>
          <w:b/>
          <w:bCs/>
          <w:sz w:val="28"/>
          <w:szCs w:val="28"/>
        </w:rPr>
      </w:pPr>
      <w:r>
        <w:rPr>
          <w:b/>
          <w:bCs/>
          <w:sz w:val="28"/>
          <w:szCs w:val="28"/>
        </w:rPr>
        <w:t>Q：目前公司CPU存在单一供应商依赖，现阶段是否有备选CPU方案？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国内信创领域主流有四条CPU技术路线、六至七家核心CPU供应品类，涵盖ARM、X86、纯国产三大体系，包括华为、飞腾、海光、兆芯、申威、龙芯等品牌。公司现阶段核心发展方向为</w:t>
      </w:r>
      <w:r>
        <w:rPr>
          <w:rFonts w:hint="eastAsia"/>
          <w:sz w:val="28"/>
          <w:szCs w:val="28"/>
        </w:rPr>
        <w:t>申威</w:t>
      </w:r>
      <w:r>
        <w:rPr>
          <w:sz w:val="28"/>
          <w:szCs w:val="28"/>
        </w:rPr>
        <w:t>技术路线，推动该路线军转民、拓展民用市场份额。同时公司也在持续关注其他技术路线及CPU品类，去年已内部规划调研多品类CPU产品的落地可行性，后续将根据公司市场产品布局确定备选方案。</w:t>
      </w:r>
    </w:p>
    <w:p>
      <w:pPr>
        <w:widowControl/>
        <w:adjustRightInd w:val="0"/>
        <w:snapToGrid w:val="0"/>
        <w:spacing w:line="240" w:lineRule="auto"/>
        <w:ind w:firstLineChars="0" w:firstLine="0"/>
        <w:jc w:val="left"/>
        <w:rPr>
          <w:b/>
          <w:bCs/>
          <w:sz w:val="28"/>
          <w:szCs w:val="28"/>
        </w:rPr>
      </w:pPr>
      <w:r>
        <w:rPr>
          <w:b/>
          <w:bCs/>
          <w:sz w:val="28"/>
          <w:szCs w:val="28"/>
        </w:rPr>
        <w:t>Q：2025年公司服务器采购量及采购金额大概是什么水平？</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2025年公司服务器采购量级预计为500台左右，包含常规机型及AI机型在内，单台</w:t>
      </w:r>
      <w:r>
        <w:rPr>
          <w:rFonts w:hint="eastAsia"/>
          <w:sz w:val="28"/>
          <w:szCs w:val="28"/>
        </w:rPr>
        <w:t>常规</w:t>
      </w:r>
      <w:r>
        <w:rPr>
          <w:sz w:val="28"/>
          <w:szCs w:val="28"/>
        </w:rPr>
        <w:t>服务器平均采购成本约5万元。</w:t>
      </w:r>
    </w:p>
    <w:p>
      <w:pPr>
        <w:widowControl/>
        <w:adjustRightInd w:val="0"/>
        <w:snapToGrid w:val="0"/>
        <w:spacing w:line="240" w:lineRule="auto"/>
        <w:ind w:firstLineChars="0" w:firstLine="0"/>
        <w:jc w:val="left"/>
        <w:rPr>
          <w:b/>
          <w:bCs/>
          <w:sz w:val="28"/>
          <w:szCs w:val="28"/>
        </w:rPr>
      </w:pPr>
      <w:r>
        <w:rPr>
          <w:b/>
          <w:bCs/>
          <w:sz w:val="28"/>
          <w:szCs w:val="28"/>
        </w:rPr>
        <w:t>Q：公司整机BOM物料的成本占比分布情况如何？</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常规状态下，CPU成本占整机BOM成本的30%左右，</w:t>
      </w:r>
      <w:r>
        <w:rPr>
          <w:rFonts w:hint="eastAsia"/>
          <w:sz w:val="28"/>
          <w:szCs w:val="28"/>
        </w:rPr>
        <w:t>内存、硬盘</w:t>
      </w:r>
      <w:r>
        <w:rPr>
          <w:sz w:val="28"/>
          <w:szCs w:val="28"/>
        </w:rPr>
        <w:t>占比</w:t>
      </w:r>
      <w:r>
        <w:rPr>
          <w:rFonts w:hint="eastAsia"/>
          <w:sz w:val="28"/>
          <w:szCs w:val="28"/>
        </w:rPr>
        <w:t>4</w:t>
      </w:r>
      <w:r>
        <w:rPr>
          <w:sz w:val="28"/>
          <w:szCs w:val="28"/>
        </w:rPr>
        <w:t>0%</w:t>
      </w:r>
      <w:r>
        <w:rPr>
          <w:rFonts w:hint="eastAsia"/>
          <w:sz w:val="28"/>
          <w:szCs w:val="28"/>
        </w:rPr>
        <w:t>-50%</w:t>
      </w:r>
      <w:r>
        <w:rPr>
          <w:sz w:val="28"/>
          <w:szCs w:val="28"/>
        </w:rPr>
        <w:t>，结构件占比15%左右，剩余成本由</w:t>
      </w:r>
      <w:r>
        <w:rPr>
          <w:rFonts w:hint="eastAsia"/>
          <w:sz w:val="28"/>
          <w:szCs w:val="28"/>
        </w:rPr>
        <w:t>网卡</w:t>
      </w:r>
      <w:r>
        <w:rPr>
          <w:sz w:val="28"/>
          <w:szCs w:val="28"/>
        </w:rPr>
        <w:t>等物料及其他辅料构成。</w:t>
      </w:r>
    </w:p>
    <w:p>
      <w:pPr>
        <w:widowControl/>
        <w:adjustRightInd w:val="0"/>
        <w:snapToGrid w:val="0"/>
        <w:spacing w:line="240" w:lineRule="auto"/>
        <w:ind w:firstLineChars="0" w:firstLine="0"/>
        <w:jc w:val="left"/>
        <w:rPr>
          <w:b/>
          <w:bCs/>
          <w:sz w:val="28"/>
          <w:szCs w:val="28"/>
        </w:rPr>
      </w:pPr>
      <w:r>
        <w:rPr>
          <w:b/>
          <w:bCs/>
          <w:sz w:val="28"/>
          <w:szCs w:val="28"/>
        </w:rPr>
        <w:t>Q：存储物料成本占比后续是否会提升，预计占比多少？</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存储物料价格从2025年5月起大幅上涨，涨幅显著，导致其成本占比大幅提升。涨价前存储物料占比相对偏低，涨价后预计整体占比可达到40%-50%，这也是当前行业普遍面临的成本压力问题。</w:t>
      </w:r>
    </w:p>
    <w:p>
      <w:pPr>
        <w:widowControl/>
        <w:adjustRightInd w:val="0"/>
        <w:snapToGrid w:val="0"/>
        <w:spacing w:line="240" w:lineRule="auto"/>
        <w:ind w:firstLineChars="0" w:firstLine="0"/>
        <w:jc w:val="left"/>
        <w:rPr>
          <w:b/>
          <w:bCs/>
          <w:sz w:val="28"/>
          <w:szCs w:val="28"/>
        </w:rPr>
      </w:pPr>
      <w:r>
        <w:rPr>
          <w:b/>
          <w:bCs/>
          <w:sz w:val="28"/>
          <w:szCs w:val="28"/>
        </w:rPr>
        <w:t>Q：针对存储物料涨价，公司是否有提前备货应对？</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公司针对存储物料涨价提前储备了部分库存，但整体备货量较少。主要因为公司整机业务采用小步快跑的运营模式，且公司核心发力点为芯片业务，整机业务备货相对保守。</w:t>
      </w:r>
    </w:p>
    <w:p>
      <w:pPr>
        <w:widowControl/>
        <w:adjustRightInd w:val="0"/>
        <w:snapToGrid w:val="0"/>
        <w:spacing w:line="240" w:lineRule="auto"/>
        <w:ind w:firstLineChars="0" w:firstLine="0"/>
        <w:jc w:val="left"/>
        <w:rPr>
          <w:b/>
          <w:bCs/>
          <w:sz w:val="28"/>
          <w:szCs w:val="28"/>
        </w:rPr>
      </w:pPr>
      <w:r>
        <w:rPr>
          <w:b/>
          <w:bCs/>
          <w:sz w:val="28"/>
          <w:szCs w:val="28"/>
        </w:rPr>
        <w:t>Q：公司存储类物料是否自主采购，核心供应商有哪些？</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公司DRAM、SSD等全部存储类物料均为自主采购，目前合作的核心供应商包含三星、长</w:t>
      </w:r>
      <w:r>
        <w:rPr>
          <w:rFonts w:hint="eastAsia"/>
          <w:sz w:val="28"/>
          <w:szCs w:val="28"/>
        </w:rPr>
        <w:t>芯</w:t>
      </w:r>
      <w:r>
        <w:rPr>
          <w:sz w:val="28"/>
          <w:szCs w:val="28"/>
        </w:rPr>
        <w:t>、</w:t>
      </w:r>
      <w:r>
        <w:rPr>
          <w:rFonts w:hint="eastAsia"/>
          <w:sz w:val="28"/>
          <w:szCs w:val="28"/>
        </w:rPr>
        <w:t>佰</w:t>
      </w:r>
      <w:r>
        <w:rPr>
          <w:sz w:val="28"/>
          <w:szCs w:val="28"/>
        </w:rPr>
        <w:t>维等，同时持续与多家厂商对接，推进新品适配开发合作。</w:t>
      </w:r>
    </w:p>
    <w:p>
      <w:pPr>
        <w:widowControl/>
        <w:adjustRightInd w:val="0"/>
        <w:snapToGrid w:val="0"/>
        <w:spacing w:line="240" w:lineRule="auto"/>
        <w:ind w:firstLineChars="0" w:firstLine="0"/>
        <w:jc w:val="left"/>
        <w:rPr>
          <w:b/>
          <w:bCs/>
          <w:sz w:val="28"/>
          <w:szCs w:val="28"/>
        </w:rPr>
      </w:pPr>
      <w:r>
        <w:rPr>
          <w:b/>
          <w:bCs/>
          <w:sz w:val="28"/>
          <w:szCs w:val="28"/>
        </w:rPr>
        <w:t>Q：2025年末公司1800万存货的具体构成是什么？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公司年末1800万存货主要以服务器整机配套BOM物料为主，剩余部分为CPU、二级辅料等各类核心及配套物料。</w:t>
      </w:r>
    </w:p>
    <w:p>
      <w:pPr>
        <w:widowControl/>
        <w:adjustRightInd w:val="0"/>
        <w:snapToGrid w:val="0"/>
        <w:spacing w:line="240" w:lineRule="auto"/>
        <w:ind w:firstLineChars="0" w:firstLine="0"/>
        <w:jc w:val="left"/>
        <w:rPr>
          <w:b/>
          <w:bCs/>
          <w:sz w:val="28"/>
          <w:szCs w:val="28"/>
        </w:rPr>
      </w:pPr>
      <w:r>
        <w:rPr>
          <w:b/>
          <w:bCs/>
          <w:sz w:val="28"/>
          <w:szCs w:val="28"/>
        </w:rPr>
        <w:t>Q：公司各类物料的采购周期分别是多久？</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不同品类物料采购周期存在差异，板卡类物料（含主板、CPU等标准化品类）当前采购周期为3-4个月；存储类物料受市场行情影响，采购周期延长至2-3个月；结构类物料采购周期约2个月。</w:t>
      </w:r>
    </w:p>
    <w:p>
      <w:pPr>
        <w:widowControl/>
        <w:adjustRightInd w:val="0"/>
        <w:snapToGrid w:val="0"/>
        <w:spacing w:line="240" w:lineRule="auto"/>
        <w:ind w:firstLineChars="0" w:firstLine="0"/>
        <w:jc w:val="left"/>
        <w:rPr>
          <w:b/>
          <w:bCs/>
          <w:sz w:val="28"/>
          <w:szCs w:val="28"/>
        </w:rPr>
      </w:pPr>
      <w:r>
        <w:rPr>
          <w:b/>
          <w:bCs/>
          <w:sz w:val="28"/>
          <w:szCs w:val="28"/>
        </w:rPr>
        <w:t>Q：结构类物料采购周期较长的原因是什么？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结构类物料生产需要提前筹备原材料、完成排线等前置工序，且部分结构件附带背板、电子配件等配套部件，生产流程繁琐，因此整体采购周期相对较长。</w:t>
      </w:r>
    </w:p>
    <w:p>
      <w:pPr>
        <w:widowControl/>
        <w:adjustRightInd w:val="0"/>
        <w:snapToGrid w:val="0"/>
        <w:spacing w:line="240" w:lineRule="auto"/>
        <w:ind w:firstLineChars="0" w:firstLine="0"/>
        <w:jc w:val="left"/>
        <w:rPr>
          <w:b/>
          <w:bCs/>
          <w:sz w:val="28"/>
          <w:szCs w:val="28"/>
        </w:rPr>
      </w:pPr>
      <w:r>
        <w:rPr>
          <w:b/>
          <w:bCs/>
          <w:sz w:val="28"/>
          <w:szCs w:val="28"/>
        </w:rPr>
        <w:t>Q：各物料供应商的账期政策是怎样的？</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公司合作供应商整体账期在30天-90天不等。其中CPU物料账期不固定，往年合作可谈常规账期，若遇到紧急业务需求，供应商将取消账期，具体根据甲方业务需求及市场行情动态调整。</w:t>
      </w:r>
    </w:p>
    <w:p>
      <w:pPr>
        <w:widowControl/>
        <w:adjustRightInd w:val="0"/>
        <w:snapToGrid w:val="0"/>
        <w:spacing w:line="240" w:lineRule="auto"/>
        <w:ind w:firstLineChars="0" w:firstLine="0"/>
        <w:jc w:val="left"/>
        <w:rPr>
          <w:b/>
          <w:bCs/>
          <w:sz w:val="28"/>
          <w:szCs w:val="28"/>
        </w:rPr>
      </w:pPr>
      <w:r>
        <w:rPr>
          <w:b/>
          <w:bCs/>
          <w:sz w:val="28"/>
          <w:szCs w:val="28"/>
        </w:rPr>
        <w:t>Q：除特殊CPU采购外，还有哪些物料需要预付费用？</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新品研发阶段的定制化散热物料需要预付费用，其余常规物料基本无需预付。</w:t>
      </w:r>
    </w:p>
    <w:p>
      <w:pPr>
        <w:widowControl/>
        <w:adjustRightInd w:val="0"/>
        <w:snapToGrid w:val="0"/>
        <w:spacing w:line="240" w:lineRule="auto"/>
        <w:ind w:firstLineChars="0" w:firstLine="0"/>
        <w:jc w:val="left"/>
        <w:rPr>
          <w:b/>
          <w:bCs/>
          <w:sz w:val="28"/>
          <w:szCs w:val="28"/>
        </w:rPr>
      </w:pPr>
      <w:r>
        <w:rPr>
          <w:b/>
          <w:bCs/>
          <w:sz w:val="28"/>
          <w:szCs w:val="28"/>
        </w:rPr>
        <w:t>Q：定制化散热物料需要预付费用的原因是什么？</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定制化散热产品无通用公模适配需求，需要供应商在原有模具基础上进行改模、开模优化。为控制成本、提升供货效率，公司会依托供应商现有模具做小幅改动，无需全额承担开模成本，仅需预付部分改模费用，即可满足产品定制化需求。</w:t>
      </w:r>
    </w:p>
    <w:p>
      <w:pPr>
        <w:widowControl/>
        <w:adjustRightInd w:val="0"/>
        <w:snapToGrid w:val="0"/>
        <w:spacing w:line="240" w:lineRule="auto"/>
        <w:ind w:firstLineChars="0" w:firstLine="0"/>
        <w:jc w:val="left"/>
        <w:rPr>
          <w:b/>
          <w:bCs/>
          <w:sz w:val="28"/>
          <w:szCs w:val="28"/>
        </w:rPr>
      </w:pPr>
      <w:r>
        <w:rPr>
          <w:b/>
          <w:bCs/>
          <w:sz w:val="28"/>
          <w:szCs w:val="28"/>
        </w:rPr>
        <w:t>Q：公司是否需要从美国、欧洲等海外地区采购物料？</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无直接海外采购动作，所有海外品类物料均通过国内合作厂商、代理商落地采购。例如韩国、美国的存储物料依托百维等代理厂商采购，英特尔网卡芯片不直接对接海外原厂，通过国内OEM厂商采购成品网卡，供应链渠道成熟稳定。</w:t>
      </w:r>
    </w:p>
    <w:p>
      <w:pPr>
        <w:widowControl/>
        <w:adjustRightInd w:val="0"/>
        <w:snapToGrid w:val="0"/>
        <w:spacing w:line="240" w:lineRule="auto"/>
        <w:ind w:firstLineChars="0" w:firstLine="0"/>
        <w:jc w:val="left"/>
        <w:rPr>
          <w:b/>
          <w:bCs/>
          <w:sz w:val="28"/>
          <w:szCs w:val="28"/>
        </w:rPr>
      </w:pPr>
      <w:r>
        <w:rPr>
          <w:b/>
          <w:bCs/>
          <w:sz w:val="28"/>
          <w:szCs w:val="28"/>
        </w:rPr>
        <w:t>Q：公司是否处于美国实体清单内，对供应链有无影响？</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公司不在美国实体清单内，当前行业海外物料采购渠道已十分成熟，清单限制对公司供应链无负面影响，整体供应链体系稳定可控。</w:t>
      </w:r>
    </w:p>
    <w:p>
      <w:pPr>
        <w:widowControl/>
        <w:adjustRightInd w:val="0"/>
        <w:snapToGrid w:val="0"/>
        <w:spacing w:after="160" w:line="278" w:lineRule="auto"/>
        <w:ind w:firstLineChars="0" w:firstLine="0"/>
        <w:jc w:val="left"/>
        <w:rPr>
          <w:b/>
          <w:bCs/>
          <w:sz w:val="28"/>
          <w:szCs w:val="28"/>
        </w:rPr>
      </w:pPr>
      <w:r>
        <w:rPr>
          <w:b/>
          <w:bCs/>
          <w:sz w:val="28"/>
          <w:szCs w:val="28"/>
        </w:rPr>
        <w:br w:type="page"/>
      </w:r>
    </w:p>
    <w:p>
      <w:pPr>
        <w:widowControl/>
        <w:numPr>
          <w:ilvl w:val="0"/>
          <w:numId w:val="1"/>
        </w:numPr>
        <w:overflowPunct w:val="0"/>
        <w:topLinePunct/>
        <w:adjustRightInd w:val="0"/>
        <w:snapToGrid w:val="0"/>
        <w:spacing w:after="160" w:line="240" w:lineRule="auto"/>
        <w:ind w:firstLineChars="0"/>
        <w:jc w:val="left"/>
        <w:outlineLvl w:val="1"/>
        <w:rPr>
          <w:b/>
          <w:bCs/>
          <w:sz w:val="28"/>
          <w:szCs w:val="28"/>
        </w:rPr>
      </w:pPr>
      <w:bookmarkStart w:id="29" w:name="_Toc231375147"/>
      <w:r>
        <w:rPr>
          <w:rFonts w:hint="eastAsia"/>
          <w:b/>
          <w:bCs/>
          <w:sz w:val="28"/>
          <w:szCs w:val="28"/>
        </w:rPr>
        <w:t>法务负责人</w:t>
      </w:r>
      <w:bookmarkEnd w:id="29"/>
    </w:p>
    <w:p>
      <w:pPr>
        <w:widowControl/>
        <w:adjustRightInd w:val="0"/>
        <w:snapToGrid w:val="0"/>
        <w:spacing w:line="240" w:lineRule="auto"/>
        <w:ind w:firstLineChars="0" w:firstLine="0"/>
        <w:jc w:val="left"/>
        <w:rPr>
          <w:b/>
          <w:bCs/>
          <w:sz w:val="28"/>
          <w:szCs w:val="28"/>
        </w:rPr>
      </w:pPr>
      <w:r>
        <w:rPr>
          <w:rFonts w:hint="eastAsia"/>
          <w:b/>
          <w:bCs/>
          <w:sz w:val="28"/>
          <w:szCs w:val="28"/>
        </w:rPr>
        <w:t>访谈时间：2026年5月28日</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关键信息</w:t>
      </w:r>
    </w:p>
    <w:p>
      <w:pPr>
        <w:widowControl/>
        <w:numPr>
          <w:ilvl w:val="0"/>
          <w:numId w:val="9"/>
        </w:numPr>
        <w:overflowPunct w:val="0"/>
        <w:topLinePunct/>
        <w:adjustRightInd w:val="0"/>
        <w:snapToGrid w:val="0"/>
        <w:spacing w:line="240" w:lineRule="auto"/>
        <w:ind w:firstLineChars="0"/>
        <w:rPr>
          <w:b/>
          <w:bCs/>
          <w:sz w:val="28"/>
          <w:szCs w:val="28"/>
          <w:u w:val="single"/>
        </w:rPr>
      </w:pPr>
      <w:r>
        <w:rPr>
          <w:b/>
          <w:bCs/>
          <w:sz w:val="28"/>
          <w:szCs w:val="28"/>
          <w:u w:val="single"/>
        </w:rPr>
        <w:t>本人2003年毕业于中南民族大学法学专业，拥有扎实的法学专业功底。工作方面，2004年入职宝武集团，2011年至2021年任职于中冶集团，工作覆盖集团总部及旗下二级地产公司，职业生涯始终深耕法律管理相关工作，积累了丰富的法务管理从业经验。本人为社会招聘入职本公司，早在2019年便与公司建立业务接触，长期为公司提供相关服务，后续通过正规社招流程正式入职，且入职前与公司王总并非任职于同一家企业。</w:t>
      </w:r>
    </w:p>
    <w:p>
      <w:pPr>
        <w:widowControl/>
        <w:numPr>
          <w:ilvl w:val="0"/>
          <w:numId w:val="9"/>
        </w:numPr>
        <w:overflowPunct w:val="0"/>
        <w:topLinePunct/>
        <w:adjustRightInd w:val="0"/>
        <w:snapToGrid w:val="0"/>
        <w:spacing w:line="240" w:lineRule="auto"/>
        <w:ind w:firstLineChars="0"/>
        <w:rPr>
          <w:b/>
          <w:bCs/>
          <w:sz w:val="28"/>
          <w:szCs w:val="28"/>
          <w:u w:val="single"/>
        </w:rPr>
      </w:pPr>
      <w:r>
        <w:rPr>
          <w:b/>
          <w:bCs/>
          <w:sz w:val="28"/>
          <w:szCs w:val="28"/>
          <w:u w:val="single"/>
        </w:rPr>
        <w:t>公司法务体系架构清晰、分工明确，法务中心为公司一级部门，下设合规部与知识产权部两个二级部门，本人任职于合规部，主要负责合规板块相关工作，不分管知识产权相关业务。知识产权层面，公司所有专利、软件著作权等知识产权权属均统一归公司所有，无任何个人权属情况；公司自成立以来未发生过专利侵权诉讼，也不存在潜在的知识产权纠纷，知识产权整体合规状态良好。针对公司与申威的技术授权协议，因相关资料由知识产权条线保管，具体核心条款、授权范围及合作期限等细节，可咨询负责该项工作的沈总。</w:t>
      </w:r>
    </w:p>
    <w:p>
      <w:pPr>
        <w:widowControl/>
        <w:numPr>
          <w:ilvl w:val="0"/>
          <w:numId w:val="9"/>
        </w:numPr>
        <w:overflowPunct w:val="0"/>
        <w:topLinePunct/>
        <w:adjustRightInd w:val="0"/>
        <w:snapToGrid w:val="0"/>
        <w:spacing w:line="240" w:lineRule="auto"/>
        <w:ind w:firstLineChars="0"/>
        <w:rPr>
          <w:b/>
          <w:bCs/>
          <w:sz w:val="28"/>
          <w:szCs w:val="28"/>
          <w:u w:val="single"/>
        </w:rPr>
      </w:pPr>
      <w:r>
        <w:rPr>
          <w:b/>
          <w:bCs/>
          <w:sz w:val="28"/>
          <w:szCs w:val="28"/>
          <w:u w:val="single"/>
        </w:rPr>
        <w:t>在对外合作协议方面，公司与沈院士签订有专项合作协议，合作付费与合作模式经过阶段性优化调整。合作初期，双方以固定年度合作、年度付费的模式开展集中性工作任务合作，后续为适配业务发展需求，合作方式调整为按具体项目对接、一事一议的模式，根据单个项目实际情况确定合作报酬与支付方式。</w:t>
      </w:r>
    </w:p>
    <w:p>
      <w:pPr>
        <w:widowControl/>
        <w:numPr>
          <w:ilvl w:val="0"/>
          <w:numId w:val="9"/>
        </w:numPr>
        <w:overflowPunct w:val="0"/>
        <w:topLinePunct/>
        <w:adjustRightInd w:val="0"/>
        <w:snapToGrid w:val="0"/>
        <w:spacing w:line="240" w:lineRule="auto"/>
        <w:ind w:firstLineChars="0"/>
        <w:rPr>
          <w:b/>
          <w:bCs/>
          <w:sz w:val="28"/>
          <w:szCs w:val="28"/>
          <w:u w:val="single"/>
        </w:rPr>
      </w:pPr>
      <w:r>
        <w:rPr>
          <w:b/>
          <w:bCs/>
          <w:sz w:val="28"/>
          <w:szCs w:val="28"/>
          <w:u w:val="single"/>
        </w:rPr>
        <w:t>公司整体经营合规状况良好，股权层面不存在质押、冻结及其他权属问题。研发环节中，公司虽会使用开源软件，但在采购、合作及软件使用全流程中，均设置对应合规条款，明确授权规则与使用规范，严格保障开源软件使用的合规性。合同管理方面，公司建立了标准化、全流程的合规审查体系，销售、采购、技术合作等各类合同均通过OA系统发起审查，常规流程为业务部门发起提交、业务主管审核后，依次经合规部、财务部门及财务负责人、公司副总裁审核，最终由董事长审核通过后方可盖章生效；针对重大、复杂合同，会提前对接业务部门核查背景、补充佐证资料，由法务与财务团队联合评审修改，全方位把控合同合规性与风险性。</w:t>
      </w:r>
    </w:p>
    <w:p>
      <w:pPr>
        <w:widowControl/>
        <w:numPr>
          <w:ilvl w:val="0"/>
          <w:numId w:val="9"/>
        </w:numPr>
        <w:overflowPunct w:val="0"/>
        <w:topLinePunct/>
        <w:adjustRightInd w:val="0"/>
        <w:snapToGrid w:val="0"/>
        <w:spacing w:line="240" w:lineRule="auto"/>
        <w:ind w:firstLineChars="0"/>
        <w:rPr>
          <w:b/>
          <w:bCs/>
          <w:sz w:val="28"/>
          <w:szCs w:val="28"/>
          <w:u w:val="single"/>
        </w:rPr>
      </w:pPr>
      <w:r>
        <w:rPr>
          <w:b/>
          <w:bCs/>
          <w:sz w:val="28"/>
          <w:szCs w:val="28"/>
          <w:u w:val="single"/>
        </w:rPr>
        <w:t>在公司上市规划工作中，法务中心主要承担协同配合职能，核心工作包括对接外聘律所，做好日常工作协同与统筹管理，同时统筹收集、筹备上市相关合规材料，全力配合各类尽职调查，落实企业内部上市配套资料整理提交等相关工作，目前各项上市配套法务工作推进顺畅，暂无工作障碍。</w:t>
      </w:r>
    </w:p>
    <w:p>
      <w:pPr>
        <w:widowControl/>
        <w:overflowPunct w:val="0"/>
        <w:topLinePunct/>
        <w:adjustRightInd w:val="0"/>
        <w:snapToGrid w:val="0"/>
        <w:spacing w:line="240" w:lineRule="auto"/>
        <w:ind w:firstLineChars="0" w:firstLine="0"/>
        <w:rPr>
          <w:b/>
          <w:bCs/>
          <w:sz w:val="28"/>
          <w:szCs w:val="28"/>
        </w:rPr>
      </w:pPr>
      <w:r>
        <w:rPr>
          <w:rFonts w:hint="eastAsia"/>
          <w:b/>
          <w:bCs/>
          <w:sz w:val="28"/>
          <w:szCs w:val="28"/>
        </w:rPr>
        <w:t>具体内容</w:t>
      </w:r>
    </w:p>
    <w:p>
      <w:pPr>
        <w:widowControl/>
        <w:adjustRightInd w:val="0"/>
        <w:snapToGrid w:val="0"/>
        <w:spacing w:line="240" w:lineRule="auto"/>
        <w:ind w:firstLineChars="0" w:firstLine="0"/>
        <w:jc w:val="left"/>
        <w:rPr>
          <w:sz w:val="28"/>
          <w:szCs w:val="28"/>
        </w:rPr>
      </w:pPr>
      <w:r>
        <w:rPr>
          <w:b/>
          <w:bCs/>
          <w:sz w:val="28"/>
          <w:szCs w:val="28"/>
        </w:rPr>
        <w:t>Q：请简单介绍个人履历，包括毕业院校、工作至今的工作单位及主要工作职责。</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我1999年就读中南民族大学法学专业，2003年顺利毕业。2004年进入宝武集团开展工作，2011年至2021年任职于中冶集团，工作范围涵盖集团总部及旗下二级地产公司，职业生涯全程均从事法律管理相关工作。</w:t>
      </w:r>
    </w:p>
    <w:p>
      <w:pPr>
        <w:widowControl/>
        <w:adjustRightInd w:val="0"/>
        <w:snapToGrid w:val="0"/>
        <w:spacing w:line="240" w:lineRule="auto"/>
        <w:ind w:firstLineChars="0" w:firstLine="0"/>
        <w:jc w:val="left"/>
        <w:rPr>
          <w:sz w:val="28"/>
          <w:szCs w:val="28"/>
        </w:rPr>
      </w:pPr>
      <w:r>
        <w:rPr>
          <w:b/>
          <w:bCs/>
          <w:sz w:val="28"/>
          <w:szCs w:val="28"/>
        </w:rPr>
        <w:t>Q：加入本公司的契机是什么，是否通过社招途径入职？</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我属于社招入职本公司。早在2019年我便与公司建立接触，长期为公司提供相关服务，后续通过社招方式正式加入公司。</w:t>
      </w:r>
    </w:p>
    <w:p>
      <w:pPr>
        <w:widowControl/>
        <w:adjustRightInd w:val="0"/>
        <w:snapToGrid w:val="0"/>
        <w:spacing w:line="240" w:lineRule="auto"/>
        <w:ind w:firstLineChars="0" w:firstLine="0"/>
        <w:jc w:val="left"/>
        <w:rPr>
          <w:sz w:val="28"/>
          <w:szCs w:val="28"/>
        </w:rPr>
      </w:pPr>
      <w:r>
        <w:rPr>
          <w:b/>
          <w:bCs/>
          <w:sz w:val="28"/>
          <w:szCs w:val="28"/>
        </w:rPr>
        <w:t>Q：入职前是否和公司王总任职于同一家公司？</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入职前与王总并非同一家公司任职。</w:t>
      </w:r>
    </w:p>
    <w:p>
      <w:pPr>
        <w:widowControl/>
        <w:adjustRightInd w:val="0"/>
        <w:snapToGrid w:val="0"/>
        <w:spacing w:line="240" w:lineRule="auto"/>
        <w:ind w:firstLineChars="0" w:firstLine="0"/>
        <w:jc w:val="left"/>
        <w:rPr>
          <w:sz w:val="28"/>
          <w:szCs w:val="28"/>
        </w:rPr>
      </w:pPr>
      <w:r>
        <w:rPr>
          <w:b/>
          <w:bCs/>
          <w:sz w:val="28"/>
          <w:szCs w:val="28"/>
        </w:rPr>
        <w:t>Q：公司法务部门的团队架构是怎样的？</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法务中心为公司一级部门，部门下设两个二级部门，分别为合规部与知识产权部，我本人就职于合规部</w:t>
      </w:r>
      <w:r>
        <w:rPr>
          <w:rFonts w:hint="eastAsia"/>
          <w:sz w:val="28"/>
          <w:szCs w:val="28"/>
        </w:rPr>
        <w:t>。</w:t>
      </w:r>
    </w:p>
    <w:p>
      <w:pPr>
        <w:widowControl/>
        <w:adjustRightInd w:val="0"/>
        <w:snapToGrid w:val="0"/>
        <w:spacing w:line="240" w:lineRule="auto"/>
        <w:ind w:firstLineChars="0" w:firstLine="0"/>
        <w:jc w:val="left"/>
        <w:rPr>
          <w:sz w:val="28"/>
          <w:szCs w:val="28"/>
        </w:rPr>
      </w:pPr>
      <w:r>
        <w:rPr>
          <w:b/>
          <w:bCs/>
          <w:sz w:val="28"/>
          <w:szCs w:val="28"/>
        </w:rPr>
        <w:t>Q：公司专利、软著等知识产权权属，是否均归属于公司，是否存在个人权属情况？</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公司所有专利、软著等知识产权权属全部归公司所有，不存在个人持有相关权属的情况。</w:t>
      </w:r>
    </w:p>
    <w:p>
      <w:pPr>
        <w:widowControl/>
        <w:adjustRightInd w:val="0"/>
        <w:snapToGrid w:val="0"/>
        <w:spacing w:line="240" w:lineRule="auto"/>
        <w:ind w:firstLineChars="0" w:firstLine="0"/>
        <w:jc w:val="left"/>
        <w:rPr>
          <w:sz w:val="28"/>
          <w:szCs w:val="28"/>
        </w:rPr>
      </w:pPr>
      <w:r>
        <w:rPr>
          <w:b/>
          <w:bCs/>
          <w:sz w:val="28"/>
          <w:szCs w:val="28"/>
        </w:rPr>
        <w:t>Q：公司与申威的技术授权协议，核心条款、授权范围及期限相关情况如何？</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确实与申威存在技术授权相关协议，该协议为早期洽谈确定。因我主要负责合规板块工作，不分管知识产权业务，协议相关资料也不由我保管，详细的条款、授权范围、期限等信息可咨询负责知识产权工作的沈总。</w:t>
      </w:r>
    </w:p>
    <w:p>
      <w:pPr>
        <w:widowControl/>
        <w:adjustRightInd w:val="0"/>
        <w:snapToGrid w:val="0"/>
        <w:spacing w:line="240" w:lineRule="auto"/>
        <w:ind w:firstLineChars="0" w:firstLine="0"/>
        <w:jc w:val="left"/>
        <w:rPr>
          <w:sz w:val="28"/>
          <w:szCs w:val="28"/>
        </w:rPr>
      </w:pPr>
      <w:r>
        <w:rPr>
          <w:b/>
          <w:bCs/>
          <w:sz w:val="28"/>
          <w:szCs w:val="28"/>
        </w:rPr>
        <w:t>Q：公司与沈院士签订的相关协议，合作期限、合作范围及合作付费模式是怎样的？</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与沈院士有签订相关合作协议。合作初期，主要根据集中性工作任务，采用固定年度合作、年度付费的模式开展合作。后续双方调整了合作服务方式，改为按具体项目合作，实行一事一议的模式确定合作报酬与支付方式。</w:t>
      </w:r>
    </w:p>
    <w:p>
      <w:pPr>
        <w:widowControl/>
        <w:adjustRightInd w:val="0"/>
        <w:snapToGrid w:val="0"/>
        <w:spacing w:line="240" w:lineRule="auto"/>
        <w:ind w:firstLineChars="0" w:firstLine="0"/>
        <w:jc w:val="left"/>
        <w:rPr>
          <w:sz w:val="28"/>
          <w:szCs w:val="28"/>
        </w:rPr>
      </w:pPr>
      <w:r>
        <w:rPr>
          <w:b/>
          <w:bCs/>
          <w:sz w:val="28"/>
          <w:szCs w:val="28"/>
        </w:rPr>
        <w:t>Q：公司是否发生过专利侵权诉讼，或存在潜在的知识产权纠纷？</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公司从未发生过专利侵权诉讼，也无任何潜在的知识产权纠纷，相关情况可核查验证。</w:t>
      </w:r>
    </w:p>
    <w:p>
      <w:pPr>
        <w:widowControl/>
        <w:adjustRightInd w:val="0"/>
        <w:snapToGrid w:val="0"/>
        <w:spacing w:line="240" w:lineRule="auto"/>
        <w:ind w:firstLineChars="0" w:firstLine="0"/>
        <w:jc w:val="left"/>
        <w:rPr>
          <w:sz w:val="28"/>
          <w:szCs w:val="28"/>
        </w:rPr>
      </w:pPr>
      <w:r>
        <w:rPr>
          <w:b/>
          <w:bCs/>
          <w:sz w:val="28"/>
          <w:szCs w:val="28"/>
        </w:rPr>
        <w:t>Q：公司股权是否存在质押、冻结或其他相关问题？</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公司股权不存在质押、冻结及其他相关问题。</w:t>
      </w:r>
    </w:p>
    <w:p>
      <w:pPr>
        <w:widowControl/>
        <w:adjustRightInd w:val="0"/>
        <w:snapToGrid w:val="0"/>
        <w:spacing w:line="240" w:lineRule="auto"/>
        <w:ind w:firstLineChars="0" w:firstLine="0"/>
        <w:jc w:val="left"/>
        <w:rPr>
          <w:sz w:val="28"/>
          <w:szCs w:val="28"/>
        </w:rPr>
      </w:pPr>
      <w:r>
        <w:rPr>
          <w:b/>
          <w:bCs/>
          <w:sz w:val="28"/>
          <w:szCs w:val="28"/>
        </w:rPr>
        <w:t>Q：公司研发过程中使用的开源软件，是否涉及相关协议约束或商业授权要求？</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公司研发工作中会涉及开源软件的使用。在采购、合作及使用开源软件的相关流程中，均会约定对应合规条款，明确相关授权及使用规范，保障使用合规性。</w:t>
      </w:r>
    </w:p>
    <w:p>
      <w:pPr>
        <w:widowControl/>
        <w:adjustRightInd w:val="0"/>
        <w:snapToGrid w:val="0"/>
        <w:spacing w:line="240" w:lineRule="auto"/>
        <w:ind w:firstLineChars="0" w:firstLine="0"/>
        <w:jc w:val="left"/>
        <w:rPr>
          <w:sz w:val="28"/>
          <w:szCs w:val="28"/>
        </w:rPr>
      </w:pPr>
      <w:r>
        <w:rPr>
          <w:b/>
          <w:bCs/>
          <w:sz w:val="28"/>
          <w:szCs w:val="28"/>
        </w:rPr>
        <w:t>Q：公司销售合同、采购合同、技术合作合同的合规审查流程是怎样的？</w:t>
      </w:r>
    </w:p>
    <w:p>
      <w:pPr>
        <w:widowControl/>
        <w:adjustRightInd w:val="0"/>
        <w:snapToGrid w:val="0"/>
        <w:spacing w:line="240" w:lineRule="auto"/>
        <w:ind w:firstLineChars="0" w:firstLine="0"/>
        <w:jc w:val="left"/>
        <w:rPr>
          <w:sz w:val="28"/>
          <w:szCs w:val="28"/>
        </w:rPr>
      </w:pPr>
      <w:r>
        <w:rPr>
          <w:b/>
          <w:bCs/>
          <w:sz w:val="28"/>
          <w:szCs w:val="28"/>
        </w:rPr>
        <w:t>A：</w:t>
      </w:r>
      <w:r>
        <w:rPr>
          <w:sz w:val="28"/>
          <w:szCs w:val="28"/>
        </w:rPr>
        <w:t>公司各类合同均通过OA系统发起合规审查，标准流程为：首先由业务部门发起提交，经业务部门主管领导审核后，流转至合规部完成合规审查，再提交财务部门及财务负责人审核，随后由公司副总裁审核，最终上报董事长审核完成后，方可盖章生效。针对重大、复杂的合同，我们会提前与业务部门沟通，核查合同背景、要求补充相关佐证资料，再由法务、财务团队联合开展合同评审与修改工作，保障合同合规合理。</w:t>
      </w:r>
    </w:p>
    <w:p>
      <w:pPr>
        <w:widowControl/>
        <w:adjustRightInd w:val="0"/>
        <w:snapToGrid w:val="0"/>
        <w:spacing w:line="240" w:lineRule="auto"/>
        <w:ind w:firstLineChars="0" w:firstLine="0"/>
        <w:jc w:val="left"/>
        <w:rPr>
          <w:sz w:val="28"/>
          <w:szCs w:val="28"/>
        </w:rPr>
      </w:pPr>
      <w:r>
        <w:rPr>
          <w:b/>
          <w:bCs/>
          <w:sz w:val="28"/>
          <w:szCs w:val="28"/>
        </w:rPr>
        <w:t>Q：部门在公司上市规划过程中主要负责哪些工作，目前是否存在工作障碍？</w:t>
      </w:r>
    </w:p>
    <w:p>
      <w:pPr>
        <w:widowControl/>
        <w:adjustRightInd w:val="0"/>
        <w:snapToGrid w:val="0"/>
        <w:spacing w:line="240" w:lineRule="auto"/>
        <w:ind w:firstLineChars="0" w:firstLine="0"/>
        <w:jc w:val="left"/>
        <w:rPr>
          <w:b/>
          <w:sz w:val="32"/>
          <w:szCs w:val="32"/>
        </w:rPr>
      </w:pPr>
      <w:r>
        <w:rPr>
          <w:b/>
          <w:bCs/>
          <w:sz w:val="28"/>
          <w:szCs w:val="28"/>
        </w:rPr>
        <w:t>A：</w:t>
      </w:r>
      <w:r>
        <w:rPr>
          <w:sz w:val="28"/>
          <w:szCs w:val="28"/>
        </w:rPr>
        <w:t>部门在公司上市工作中主要承担协同配合工作，一方面负责对接外聘律所，配合律所开展各项工作、做好日常工作协同与管理；另一方面负责筹备、收集上市相关合规材料，配合完成各类尽职调查工作，落实企业内部各项上市配套资料提交工作。目前暂未提及相关工作推进障碍。</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楷体">
    <w:panose1 w:val="02010609060101010101"/>
    <w:charset w:val="86"/>
    <w:family w:val="modern"/>
    <w:pitch w:val="variable"/>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roid Sans"/>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panose1 w:val="00000000000000000000"/>
    <w:charset w:val="00"/>
    <w:family w:val="auto"/>
    <w:pitch w:val="variable"/>
    <w:sig w:usb0="00000000" w:usb1="00000000" w:usb2="00000000" w:usb3="00000000" w:csb0="00000000" w:csb1="00000000"/>
  </w:font>
  <w:font w:name="华文楷体">
    <w:panose1 w:val="02010600040101010101"/>
    <w:charset w:val="86"/>
    <w:family w:val="auto"/>
    <w:pitch w:val="variable"/>
    <w:sig w:usb0="00000287" w:usb1="080F0000" w:usb2="00000010" w:usb3="00000000" w:csb0="0004009F" w:csb1="00000000"/>
  </w:font>
  <w:font w:name="等线 Light">
    <w:altName w:val="Droid Sans"/>
    <w:panose1 w:val="020106000301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sdt>
    <w:sdtPr>
      <w:id w:val="1994131216"/>
    </w:sdtPr>
    <w:sdtContent>
      <w:p>
        <w:pPr>
          <w:pStyle w:val="15"/>
          <w:tabs>
            <w:tab w:val="center" w:pos="4153"/>
            <w:tab w:val="right" w:pos="8306"/>
          </w:tabs>
          <w:jc w:val="center"/>
        </w:pPr>
        <w:r>
          <w:fldChar w:fldCharType="begin"/>
        </w:r>
        <w:r>
          <w:instrText>PAGE   \* MERGEFORMAT</w:instrText>
        </w:r>
        <w:r>
          <w:fldChar w:fldCharType="separate"/>
        </w:r>
        <w:r>
          <w:rPr>
            <w:lang w:val="zh-CN"/>
          </w:rPr>
          <w:t>2</w:t>
        </w:r>
        <w:r>
          <w:fldChar w:fldCharType="end"/>
        </w:r>
      </w:p>
    </w:sdtContent>
  </w:sdt>
  <w:p>
    <w:pPr>
      <w:pStyle w:val="15"/>
      <w:tabs>
        <w:tab w:val="center" w:pos="4153"/>
        <w:tab w:val="right" w:pos="8306"/>
      </w:tabs>
      <w:ind w:firstLineChars="0" w:firstLine="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framePr w:w="0" w:hRule="auto" w:wrap="around" w:vAnchor="text" w:hAnchor="page" w:x="9918" w:y="90" w:anchorLock="0"/>
      <w:tabs>
        <w:tab w:val="center" w:pos="4153"/>
        <w:tab w:val="right" w:pos="8306"/>
      </w:tabs>
      <w:jc w:val="right"/>
      <w:rPr>
        <w:rStyle w:val="21"/>
        <w:rFonts w:eastAsia="楷体"/>
      </w:rPr>
    </w:pPr>
    <w:r>
      <w:rPr>
        <w:rStyle w:val="21"/>
        <w:rFonts w:eastAsia="楷体"/>
      </w:rPr>
      <w:t>第</w:t>
    </w:r>
    <w:sdt>
      <w:sdtPr>
        <w:rPr>
          <w:rStyle w:val="21"/>
          <w:rFonts w:eastAsia="楷体"/>
        </w:rPr>
        <w:id w:val="1704154078"/>
      </w:sdtPr>
      <w:sdtContent>
        <w:r>
          <w:rPr>
            <w:rStyle w:val="21"/>
            <w:rFonts w:eastAsia="楷体"/>
          </w:rPr>
          <w:fldChar w:fldCharType="begin"/>
        </w:r>
        <w:r>
          <w:rPr>
            <w:rStyle w:val="21"/>
            <w:rFonts w:eastAsia="楷体"/>
          </w:rPr>
          <w:instrText xml:space="preserve"> PAGE </w:instrText>
        </w:r>
        <w:r>
          <w:rPr>
            <w:rStyle w:val="21"/>
            <w:rFonts w:eastAsia="楷体"/>
          </w:rPr>
          <w:fldChar w:fldCharType="separate"/>
        </w:r>
        <w:r>
          <w:rPr>
            <w:rStyle w:val="21"/>
            <w:rFonts w:eastAsia="楷体"/>
          </w:rPr>
          <w:t>1</w:t>
        </w:r>
        <w:r>
          <w:rPr>
            <w:rStyle w:val="21"/>
            <w:rFonts w:eastAsia="楷体"/>
          </w:rPr>
          <w:fldChar w:fldCharType="end"/>
        </w:r>
      </w:sdtContent>
    </w:sdt>
    <w:r>
      <w:rPr>
        <w:rStyle w:val="21"/>
        <w:rFonts w:eastAsia="楷体"/>
      </w:rPr>
      <w:t>页</w:t>
    </w:r>
  </w:p>
  <w:p>
    <w:pPr>
      <w:pStyle w:val="15"/>
      <w:tabs>
        <w:tab w:val="center" w:pos="4153"/>
        <w:tab w:val="right" w:pos="8306"/>
      </w:tabs>
      <w:jc w:val="center"/>
    </w:pPr>
  </w:p>
  <w:p>
    <w:pPr>
      <w:pStyle w:val="15"/>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jc w:val="center"/>
    </w:pPr>
  </w:p>
  <w:p>
    <w:pPr>
      <w:pStyle w:val="15"/>
      <w:framePr w:w="0" w:hRule="auto" w:wrap="around" w:vAnchor="text" w:hAnchor="page" w:x="9918" w:y="1" w:anchorLock="0"/>
      <w:tabs>
        <w:tab w:val="center" w:pos="4153"/>
        <w:tab w:val="right" w:pos="8306"/>
      </w:tabs>
      <w:jc w:val="right"/>
      <w:rPr>
        <w:rStyle w:val="21"/>
        <w:rFonts w:eastAsia="楷体"/>
      </w:rPr>
    </w:pPr>
    <w:r>
      <w:rPr>
        <w:rStyle w:val="21"/>
        <w:rFonts w:eastAsia="楷体"/>
      </w:rPr>
      <w:t>第</w:t>
    </w:r>
    <w:sdt>
      <w:sdtPr>
        <w:rPr>
          <w:rStyle w:val="21"/>
          <w:rFonts w:eastAsia="楷体"/>
        </w:rPr>
        <w:id w:val="-752666089"/>
      </w:sdtPr>
      <w:sdtContent>
        <w:r>
          <w:rPr>
            <w:rStyle w:val="21"/>
            <w:rFonts w:eastAsia="楷体"/>
          </w:rPr>
          <w:fldChar w:fldCharType="begin"/>
        </w:r>
        <w:r>
          <w:rPr>
            <w:rStyle w:val="21"/>
            <w:rFonts w:eastAsia="楷体"/>
          </w:rPr>
          <w:instrText xml:space="preserve"> PAGE </w:instrText>
        </w:r>
        <w:r>
          <w:rPr>
            <w:rStyle w:val="21"/>
            <w:rFonts w:eastAsia="楷体"/>
          </w:rPr>
          <w:fldChar w:fldCharType="separate"/>
        </w:r>
        <w:r>
          <w:rPr>
            <w:rStyle w:val="21"/>
            <w:rFonts w:eastAsia="楷体"/>
          </w:rPr>
          <w:t>2</w:t>
        </w:r>
        <w:r>
          <w:rPr>
            <w:rStyle w:val="21"/>
            <w:rFonts w:eastAsia="楷体"/>
          </w:rPr>
          <w:fldChar w:fldCharType="end"/>
        </w:r>
      </w:sdtContent>
    </w:sdt>
    <w:r>
      <w:rPr>
        <w:rStyle w:val="21"/>
        <w:rFonts w:eastAsia="楷体"/>
      </w:rPr>
      <w:t>页</w:t>
    </w:r>
  </w:p>
  <w:p>
    <w:pPr>
      <w:pStyle w:val="15"/>
      <w:tabs>
        <w:tab w:val="center" w:pos="4153"/>
        <w:tab w:val="right" w:pos="8306"/>
      </w:tabs>
      <w:ind w:firstLineChars="0" w:firstLine="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spacing w:line="240" w:lineRule="auto"/>
      <w:ind w:firstLineChars="0" w:firstLine="0"/>
      <w:jc w:val="left"/>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multiLevelType w:val="multilevel"/>
    <w:tmpl w:val="297D5B13"/>
    <w:lvl w:ilvl="0">
      <w:start w:val="1"/>
      <w:numFmt w:val="decimal"/>
      <w:lvlRestart w:val="0"/>
      <w:suff w:val="space"/>
      <w:lvlText w:val="%1"/>
      <w:lvlJc w:val="left"/>
      <w:pPr>
        <w:tabs>
          <w:tab w:val="num" w:pos="0"/>
        </w:tabs>
        <w:ind w:left="360" w:hanging="360"/>
      </w:pPr>
      <w:rPr>
        <w:rFonts w:hint="default"/>
      </w:rPr>
    </w:lvl>
    <w:lvl w:ilvl="1">
      <w:start w:val="1"/>
      <w:numFmt w:val="lowerLetter"/>
      <w:lvlText w:val="%2)"/>
      <w:lvlJc w:val="left"/>
      <w:pPr>
        <w:tabs>
          <w:tab w:val="num" w:pos="0"/>
        </w:tabs>
        <w:ind w:left="880" w:hanging="440"/>
      </w:pPr>
      <w:rPr>
        <w:rFonts w:hint="eastAsia"/>
      </w:rPr>
    </w:lvl>
    <w:lvl w:ilvl="2">
      <w:start w:val="1"/>
      <w:numFmt w:val="lowerRoman"/>
      <w:lvlText w:val="%3."/>
      <w:lvlJc w:val="right"/>
      <w:pPr>
        <w:tabs>
          <w:tab w:val="num" w:pos="0"/>
        </w:tabs>
        <w:ind w:left="1320" w:hanging="440"/>
      </w:pPr>
      <w:rPr>
        <w:rFonts w:hint="eastAsia"/>
      </w:rPr>
    </w:lvl>
    <w:lvl w:ilvl="3">
      <w:start w:val="1"/>
      <w:numFmt w:val="decimal"/>
      <w:lvlText w:val="%4."/>
      <w:lvlJc w:val="left"/>
      <w:pPr>
        <w:tabs>
          <w:tab w:val="num" w:pos="0"/>
        </w:tabs>
        <w:ind w:left="1760" w:hanging="440"/>
      </w:pPr>
      <w:rPr>
        <w:rFonts w:hint="eastAsia"/>
      </w:rPr>
    </w:lvl>
    <w:lvl w:ilvl="4">
      <w:start w:val="1"/>
      <w:numFmt w:val="lowerLetter"/>
      <w:lvlText w:val="%5)"/>
      <w:lvlJc w:val="left"/>
      <w:pPr>
        <w:tabs>
          <w:tab w:val="num" w:pos="0"/>
        </w:tabs>
        <w:ind w:left="2200" w:hanging="440"/>
      </w:pPr>
      <w:rPr>
        <w:rFonts w:hint="eastAsia"/>
      </w:rPr>
    </w:lvl>
    <w:lvl w:ilvl="5">
      <w:start w:val="1"/>
      <w:numFmt w:val="lowerRoman"/>
      <w:lvlText w:val="%6."/>
      <w:lvlJc w:val="right"/>
      <w:pPr>
        <w:tabs>
          <w:tab w:val="num" w:pos="0"/>
        </w:tabs>
        <w:ind w:left="2640" w:hanging="440"/>
      </w:pPr>
      <w:rPr>
        <w:rFonts w:hint="eastAsia"/>
      </w:rPr>
    </w:lvl>
    <w:lvl w:ilvl="6">
      <w:start w:val="1"/>
      <w:numFmt w:val="decimal"/>
      <w:lvlText w:val="%7."/>
      <w:lvlJc w:val="left"/>
      <w:pPr>
        <w:tabs>
          <w:tab w:val="num" w:pos="0"/>
        </w:tabs>
        <w:ind w:left="3080" w:hanging="440"/>
      </w:pPr>
      <w:rPr>
        <w:rFonts w:hint="eastAsia"/>
      </w:rPr>
    </w:lvl>
    <w:lvl w:ilvl="7">
      <w:start w:val="1"/>
      <w:numFmt w:val="lowerLetter"/>
      <w:lvlText w:val="%8)"/>
      <w:lvlJc w:val="left"/>
      <w:pPr>
        <w:tabs>
          <w:tab w:val="num" w:pos="0"/>
        </w:tabs>
        <w:ind w:left="3520" w:hanging="440"/>
      </w:pPr>
      <w:rPr>
        <w:rFonts w:hint="eastAsia"/>
      </w:rPr>
    </w:lvl>
    <w:lvl w:ilvl="8">
      <w:start w:val="1"/>
      <w:numFmt w:val="lowerRoman"/>
      <w:lvlText w:val="%9."/>
      <w:lvlJc w:val="right"/>
      <w:pPr>
        <w:tabs>
          <w:tab w:val="num" w:pos="0"/>
        </w:tabs>
        <w:ind w:left="3960" w:hanging="440"/>
      </w:pPr>
      <w:rPr>
        <w:rFonts w:hint="eastAsia"/>
      </w:rPr>
    </w:lvl>
  </w:abstractNum>
  <w:abstractNum w:abstractNumId="1">
    <w:multiLevelType w:val="singleLevel"/>
    <w:tmpl w:val="7D5ECFC2"/>
    <w:lvl w:ilvl="0">
      <w:start w:val="1"/>
      <w:numFmt w:val="decimal"/>
      <w:lvlRestart w:val="0"/>
      <w:suff w:val="space"/>
      <w:lvlText w:val="%1."/>
      <w:lvlJc w:val="left"/>
      <w:pPr>
        <w:tabs>
          <w:tab w:val="num" w:pos="0"/>
        </w:tabs>
        <w:ind w:left="0" w:hanging="0"/>
      </w:pPr>
      <w:rPr>
        <w:rFonts w:hint="eastAsia"/>
      </w:rPr>
    </w:lvl>
  </w:abstractNum>
  <w:abstractNum w:abstractNumId="2">
    <w:multiLevelType w:val="singleLevel"/>
    <w:tmpl w:val="171E1B2F"/>
    <w:lvl w:ilvl="0">
      <w:start w:val="1"/>
      <w:numFmt w:val="decimal"/>
      <w:lvlRestart w:val="0"/>
      <w:suff w:val="space"/>
      <w:lvlText w:val="%1."/>
      <w:lvlJc w:val="left"/>
      <w:pPr>
        <w:tabs>
          <w:tab w:val="num" w:pos="0"/>
        </w:tabs>
        <w:ind w:left="0" w:hanging="0"/>
      </w:pPr>
      <w:rPr>
        <w:rFonts w:hint="eastAsia"/>
      </w:rPr>
    </w:lvl>
  </w:abstractNum>
  <w:abstractNum w:abstractNumId="3">
    <w:multiLevelType w:val="singleLevel"/>
    <w:tmpl w:val="63D53F5A"/>
    <w:lvl w:ilvl="0">
      <w:start w:val="1"/>
      <w:numFmt w:val="decimal"/>
      <w:lvlRestart w:val="0"/>
      <w:suff w:val="space"/>
      <w:lvlText w:val="%1."/>
      <w:lvlJc w:val="left"/>
      <w:pPr>
        <w:tabs>
          <w:tab w:val="num" w:pos="0"/>
        </w:tabs>
        <w:ind w:left="0" w:hanging="0"/>
      </w:pPr>
      <w:rPr>
        <w:rFonts w:hint="eastAsia"/>
      </w:rPr>
    </w:lvl>
  </w:abstractNum>
  <w:abstractNum w:abstractNumId="4">
    <w:multiLevelType w:val="singleLevel"/>
    <w:tmpl w:val="2D7B76D3"/>
    <w:lvl w:ilvl="0">
      <w:start w:val="1"/>
      <w:numFmt w:val="decimal"/>
      <w:lvlRestart w:val="0"/>
      <w:suff w:val="space"/>
      <w:lvlText w:val="%1."/>
      <w:lvlJc w:val="left"/>
      <w:pPr>
        <w:tabs>
          <w:tab w:val="num" w:pos="0"/>
        </w:tabs>
        <w:ind w:left="0" w:hanging="0"/>
      </w:pPr>
      <w:rPr>
        <w:rFonts w:hint="eastAsia"/>
      </w:rPr>
    </w:lvl>
  </w:abstractNum>
  <w:abstractNum w:abstractNumId="5">
    <w:multiLevelType w:val="multilevel"/>
    <w:tmpl w:val="297D5B13"/>
    <w:lvl w:ilvl="0">
      <w:start w:val="1"/>
      <w:numFmt w:val="decimal"/>
      <w:lvlRestart w:val="0"/>
      <w:suff w:val="space"/>
      <w:lvlText w:val="%1"/>
      <w:lvlJc w:val="left"/>
      <w:pPr>
        <w:tabs>
          <w:tab w:val="num" w:pos="0"/>
        </w:tabs>
        <w:ind w:left="360" w:hanging="360"/>
      </w:pPr>
      <w:rPr>
        <w:rFonts w:hint="default"/>
      </w:rPr>
    </w:lvl>
    <w:lvl w:ilvl="1">
      <w:start w:val="1"/>
      <w:numFmt w:val="lowerLetter"/>
      <w:lvlText w:val="%2)"/>
      <w:lvlJc w:val="left"/>
      <w:pPr>
        <w:tabs>
          <w:tab w:val="num" w:pos="0"/>
        </w:tabs>
        <w:ind w:left="880" w:hanging="440"/>
      </w:pPr>
      <w:rPr>
        <w:rFonts w:hint="eastAsia"/>
      </w:rPr>
    </w:lvl>
    <w:lvl w:ilvl="2">
      <w:start w:val="1"/>
      <w:numFmt w:val="lowerRoman"/>
      <w:lvlText w:val="%3."/>
      <w:lvlJc w:val="right"/>
      <w:pPr>
        <w:tabs>
          <w:tab w:val="num" w:pos="0"/>
        </w:tabs>
        <w:ind w:left="1320" w:hanging="440"/>
      </w:pPr>
      <w:rPr>
        <w:rFonts w:hint="eastAsia"/>
      </w:rPr>
    </w:lvl>
    <w:lvl w:ilvl="3">
      <w:start w:val="1"/>
      <w:numFmt w:val="decimal"/>
      <w:lvlText w:val="%4."/>
      <w:lvlJc w:val="left"/>
      <w:pPr>
        <w:tabs>
          <w:tab w:val="num" w:pos="0"/>
        </w:tabs>
        <w:ind w:left="1760" w:hanging="440"/>
      </w:pPr>
      <w:rPr>
        <w:rFonts w:hint="eastAsia"/>
      </w:rPr>
    </w:lvl>
    <w:lvl w:ilvl="4">
      <w:start w:val="1"/>
      <w:numFmt w:val="lowerLetter"/>
      <w:lvlText w:val="%5)"/>
      <w:lvlJc w:val="left"/>
      <w:pPr>
        <w:tabs>
          <w:tab w:val="num" w:pos="0"/>
        </w:tabs>
        <w:ind w:left="2200" w:hanging="440"/>
      </w:pPr>
      <w:rPr>
        <w:rFonts w:hint="eastAsia"/>
      </w:rPr>
    </w:lvl>
    <w:lvl w:ilvl="5">
      <w:start w:val="1"/>
      <w:numFmt w:val="lowerRoman"/>
      <w:lvlText w:val="%6."/>
      <w:lvlJc w:val="right"/>
      <w:pPr>
        <w:tabs>
          <w:tab w:val="num" w:pos="0"/>
        </w:tabs>
        <w:ind w:left="2640" w:hanging="440"/>
      </w:pPr>
      <w:rPr>
        <w:rFonts w:hint="eastAsia"/>
      </w:rPr>
    </w:lvl>
    <w:lvl w:ilvl="6">
      <w:start w:val="1"/>
      <w:numFmt w:val="decimal"/>
      <w:lvlText w:val="%7."/>
      <w:lvlJc w:val="left"/>
      <w:pPr>
        <w:tabs>
          <w:tab w:val="num" w:pos="0"/>
        </w:tabs>
        <w:ind w:left="3080" w:hanging="440"/>
      </w:pPr>
      <w:rPr>
        <w:rFonts w:hint="eastAsia"/>
      </w:rPr>
    </w:lvl>
    <w:lvl w:ilvl="7">
      <w:start w:val="1"/>
      <w:numFmt w:val="lowerLetter"/>
      <w:lvlText w:val="%8)"/>
      <w:lvlJc w:val="left"/>
      <w:pPr>
        <w:tabs>
          <w:tab w:val="num" w:pos="0"/>
        </w:tabs>
        <w:ind w:left="3520" w:hanging="440"/>
      </w:pPr>
      <w:rPr>
        <w:rFonts w:hint="eastAsia"/>
      </w:rPr>
    </w:lvl>
    <w:lvl w:ilvl="8">
      <w:start w:val="1"/>
      <w:numFmt w:val="lowerRoman"/>
      <w:lvlText w:val="%9."/>
      <w:lvlJc w:val="right"/>
      <w:pPr>
        <w:tabs>
          <w:tab w:val="num" w:pos="0"/>
        </w:tabs>
        <w:ind w:left="3960" w:hanging="440"/>
      </w:pPr>
      <w:rPr>
        <w:rFonts w:hint="eastAsia"/>
      </w:rPr>
    </w:lvl>
  </w:abstractNum>
  <w:abstractNum w:abstractNumId="6">
    <w:multiLevelType w:val="singleLevel"/>
    <w:tmpl w:val="1C690F2C"/>
    <w:lvl w:ilvl="0">
      <w:start w:val="1"/>
      <w:numFmt w:val="decimal"/>
      <w:lvlRestart w:val="0"/>
      <w:suff w:val="space"/>
      <w:lvlText w:val="%1."/>
      <w:lvlJc w:val="left"/>
      <w:pPr>
        <w:tabs>
          <w:tab w:val="num" w:pos="0"/>
        </w:tabs>
        <w:ind w:left="0" w:hanging="0"/>
      </w:pPr>
      <w:rPr>
        <w:rFonts w:hint="eastAsia"/>
      </w:rPr>
    </w:lvl>
  </w:abstractNum>
  <w:abstractNum w:abstractNumId="7">
    <w:multiLevelType w:val="singleLevel"/>
    <w:tmpl w:val="725C745A"/>
    <w:lvl w:ilvl="0">
      <w:start w:val="1"/>
      <w:numFmt w:val="decimal"/>
      <w:lvlRestart w:val="0"/>
      <w:suff w:val="space"/>
      <w:lvlText w:val="%1."/>
      <w:lvlJc w:val="left"/>
      <w:pPr>
        <w:tabs>
          <w:tab w:val="num" w:pos="0"/>
        </w:tabs>
        <w:ind w:left="0" w:hanging="0"/>
      </w:pPr>
      <w:rPr>
        <w:rFonts w:hint="eastAsia"/>
      </w:rPr>
    </w:lvl>
  </w:abstractNum>
  <w:abstractNum w:abstractNumId="8">
    <w:multiLevelType w:val="singleLevel"/>
    <w:tmpl w:val="00821810"/>
    <w:lvl w:ilvl="0">
      <w:start w:val="1"/>
      <w:numFmt w:val="decimal"/>
      <w:lvlRestart w:val="0"/>
      <w:suff w:val="space"/>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72"/>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400" w:lineRule="exact"/>
      <w:ind w:firstLineChars="200" w:firstLine="200"/>
      <w:jc w:val="both"/>
    </w:pPr>
    <w:rPr>
      <w:rFonts w:ascii="Arial" w:eastAsia="华文楷体" w:cs="Arial" w:hAnsi="Arial"/>
      <w:kern w:val="2"/>
      <w:sz w:val="22"/>
      <w:szCs w:val="22"/>
      <w:lang w:val="en-US" w:eastAsia="zh-CN" w:bidi="ar-SA"/>
    </w:rPr>
  </w:style>
  <w:style w:type="paragraph" w:styleId="1">
    <w:name w:val="heading 1"/>
    <w:basedOn w:val="0"/>
    <w:next w:val="0"/>
    <w:pPr>
      <w:keepNext/>
      <w:keepLines/>
      <w:widowControl w:val="0"/>
      <w:spacing w:before="480" w:after="80"/>
      <w:outlineLvl w:val="0"/>
    </w:pPr>
    <w:rPr>
      <w:rFonts w:ascii="等线 Light" w:eastAsia="等线 Light" w:cs="Times New Roman"/>
      <w:color w:val="2F5496"/>
      <w:sz w:val="48"/>
      <w:szCs w:val="48"/>
    </w:rPr>
  </w:style>
  <w:style w:type="paragraph" w:styleId="2">
    <w:name w:val="heading 2"/>
    <w:basedOn w:val="0"/>
    <w:next w:val="0"/>
    <w:pPr>
      <w:keepNext/>
      <w:keepLines/>
      <w:widowControl w:val="0"/>
      <w:spacing w:before="160" w:after="80"/>
      <w:outlineLvl w:val="1"/>
    </w:pPr>
    <w:rPr>
      <w:rFonts w:ascii="等线 Light" w:eastAsia="等线 Light" w:cs="Times New Roman"/>
      <w:color w:val="2F5496"/>
      <w:sz w:val="40"/>
      <w:szCs w:val="40"/>
    </w:rPr>
  </w:style>
  <w:style w:type="paragraph" w:styleId="3">
    <w:name w:val="heading 3"/>
    <w:basedOn w:val="0"/>
    <w:next w:val="0"/>
    <w:pPr>
      <w:keepNext/>
      <w:keepLines/>
      <w:widowControl w:val="0"/>
      <w:spacing w:before="160" w:after="80"/>
      <w:outlineLvl w:val="2"/>
    </w:pPr>
    <w:rPr>
      <w:rFonts w:ascii="等线 Light" w:eastAsia="等线 Light" w:cs="Times New Roman"/>
      <w:color w:val="2F5496"/>
      <w:sz w:val="32"/>
      <w:szCs w:val="32"/>
    </w:rPr>
  </w:style>
  <w:style w:type="paragraph" w:styleId="4">
    <w:name w:val="heading 4"/>
    <w:basedOn w:val="0"/>
    <w:next w:val="0"/>
    <w:pPr>
      <w:keepNext/>
      <w:keepLines/>
      <w:widowControl w:val="0"/>
      <w:spacing w:before="80" w:after="40"/>
      <w:outlineLvl w:val="3"/>
    </w:pPr>
    <w:rPr>
      <w:rFonts w:cs="Times New Roman"/>
      <w:color w:val="2F5496"/>
      <w:sz w:val="28"/>
      <w:szCs w:val="28"/>
    </w:rPr>
  </w:style>
  <w:style w:type="paragraph" w:styleId="5">
    <w:name w:val="heading 5"/>
    <w:basedOn w:val="0"/>
    <w:next w:val="0"/>
    <w:pPr>
      <w:keepNext/>
      <w:keepLines/>
      <w:widowControl w:val="0"/>
      <w:spacing w:before="80" w:after="40"/>
      <w:outlineLvl w:val="4"/>
    </w:pPr>
    <w:rPr>
      <w:rFonts w:cs="Times New Roman"/>
      <w:color w:val="2F5496"/>
      <w:sz w:val="24"/>
    </w:rPr>
  </w:style>
  <w:style w:type="paragraph" w:styleId="6">
    <w:name w:val="heading 6"/>
    <w:basedOn w:val="0"/>
    <w:next w:val="0"/>
    <w:pPr>
      <w:keepNext/>
      <w:keepLines/>
      <w:widowControl w:val="0"/>
      <w:spacing w:before="40"/>
      <w:outlineLvl w:val="5"/>
    </w:pPr>
    <w:rPr>
      <w:rFonts w:cs="Times New Roman"/>
      <w:b/>
      <w:bCs/>
      <w:color w:val="2F5496"/>
    </w:rPr>
  </w:style>
  <w:style w:type="paragraph" w:styleId="7">
    <w:name w:val="heading 7"/>
    <w:basedOn w:val="0"/>
    <w:next w:val="0"/>
    <w:pPr>
      <w:keepNext/>
      <w:keepLines/>
      <w:widowControl w:val="0"/>
      <w:spacing w:before="40"/>
      <w:outlineLvl w:val="6"/>
    </w:pPr>
    <w:rPr>
      <w:rFonts w:cs="Times New Roman"/>
      <w:b/>
      <w:bCs/>
      <w:color w:val="595959"/>
    </w:rPr>
  </w:style>
  <w:style w:type="paragraph" w:styleId="8">
    <w:name w:val="heading 8"/>
    <w:basedOn w:val="0"/>
    <w:next w:val="0"/>
    <w:pPr>
      <w:keepNext/>
      <w:keepLines/>
      <w:widowControl w:val="0"/>
      <w:outlineLvl w:val="7"/>
    </w:pPr>
    <w:rPr>
      <w:rFonts w:cs="Times New Roman"/>
      <w:color w:val="595959"/>
    </w:rPr>
  </w:style>
  <w:style w:type="paragraph" w:styleId="9">
    <w:name w:val="heading 9"/>
    <w:basedOn w:val="0"/>
    <w:next w:val="0"/>
    <w:pPr>
      <w:keepNext/>
      <w:keepLines/>
      <w:widowControl w:val="0"/>
      <w:outlineLvl w:val="8"/>
    </w:pPr>
    <w:rPr>
      <w:rFonts w:eastAsia="等线 Light" w:cs="Times New Roman"/>
      <w:color w:val="595959"/>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tabs>
        <w:tab w:val="center" w:pos="4153"/>
        <w:tab w:val="right" w:pos="8306"/>
      </w:tabs>
      <w:snapToGrid w:val="0"/>
      <w:jc w:val="center"/>
    </w:pPr>
    <w:rPr>
      <w:sz w:val="18"/>
      <w:szCs w:val="18"/>
    </w:rPr>
  </w:style>
  <w:style w:type="paragraph" w:styleId="17">
    <w:name w:val="toc 1"/>
    <w:basedOn w:val="0"/>
    <w:autoRedefine/>
    <w:next w:val="0"/>
    <w:pPr>
      <w:widowControl/>
      <w:tabs>
        <w:tab w:val="left" w:pos="1260"/>
        <w:tab w:val="right" w:leader="dot" w:pos="9352"/>
      </w:tabs>
      <w:spacing w:after="100" w:line="259" w:lineRule="auto"/>
      <w:jc w:val="left"/>
    </w:pPr>
    <w:rPr>
      <w:rFonts w:cs="Times New Roman"/>
      <w:b/>
      <w:bCs/>
      <w:kern w:val="0"/>
    </w:rPr>
  </w:style>
  <w:style w:type="paragraph" w:styleId="18">
    <w:name w:val="Subtitle"/>
    <w:basedOn w:val="0"/>
    <w:next w:val="0"/>
    <w:pPr>
      <w:jc w:val="center"/>
    </w:pPr>
    <w:rPr>
      <w:rFonts w:ascii="等线 Light" w:eastAsia="等线 Light" w:cs="Times New Roman"/>
      <w:color w:val="595959"/>
      <w:spacing w:val="15"/>
      <w:sz w:val="28"/>
      <w:szCs w:val="28"/>
    </w:rPr>
  </w:style>
  <w:style w:type="paragraph" w:styleId="19">
    <w:name w:val="toc 2"/>
    <w:basedOn w:val="0"/>
    <w:autoRedefine/>
    <w:next w:val="0"/>
    <w:pPr>
      <w:widowControl/>
      <w:tabs>
        <w:tab w:val="left" w:pos="1260"/>
        <w:tab w:val="right" w:leader="dot" w:pos="9352"/>
      </w:tabs>
      <w:spacing w:after="100" w:line="259" w:lineRule="auto"/>
      <w:ind w:left="220"/>
      <w:jc w:val="left"/>
    </w:pPr>
    <w:rPr>
      <w:rFonts w:cs="Times New Roman"/>
      <w:b/>
      <w:bCs/>
      <w:kern w:val="0"/>
    </w:rPr>
  </w:style>
  <w:style w:type="paragraph" w:styleId="20">
    <w:name w:val="Title"/>
    <w:basedOn w:val="0"/>
    <w:next w:val="0"/>
    <w:pPr>
      <w:spacing w:after="80" w:line="240" w:lineRule="auto"/>
      <w:contextualSpacing/>
      <w:jc w:val="center"/>
    </w:pPr>
    <w:rPr>
      <w:rFonts w:ascii="等线 Light" w:eastAsia="等线 Light" w:cs="Times New Roman"/>
      <w:spacing w:val="-10"/>
      <w:kern w:val="28"/>
      <w:sz w:val="56"/>
      <w:szCs w:val="56"/>
    </w:rPr>
  </w:style>
  <w:style w:type="character" w:styleId="21">
    <w:name w:val="page number"/>
    <w:basedOn w:val="10"/>
    <w:autoRedefine/>
  </w:style>
  <w:style w:type="character" w:styleId="22">
    <w:name w:val="Hyperlink"/>
    <w:basedOn w:val="10"/>
    <w:rPr>
      <w:color w:val="0563C1"/>
      <w:u w:val="single"/>
    </w:rPr>
  </w:style>
  <w:style w:type="paragraph" w:customStyle="1" w:styleId="23">
    <w:name w:val="Quote"/>
    <w:basedOn w:val="0"/>
    <w:next w:val="0"/>
    <w:pPr>
      <w:spacing w:before="160"/>
      <w:jc w:val="center"/>
    </w:pPr>
    <w:rPr>
      <w:i/>
      <w:iCs/>
      <w:color w:val="404040"/>
    </w:rPr>
  </w:style>
  <w:style w:type="paragraph" w:customStyle="1" w:styleId="24">
    <w:name w:val="List Paragraph"/>
    <w:basedOn w:val="0"/>
    <w:pPr>
      <w:ind w:left="720"/>
      <w:contextualSpacing/>
    </w:pPr>
  </w:style>
  <w:style w:type="character" w:customStyle="1" w:styleId="25">
    <w:name w:val="明显强调1"/>
    <w:basedOn w:val="10"/>
    <w:rPr>
      <w:i/>
      <w:iCs/>
      <w:color w:val="2F5496"/>
    </w:rPr>
  </w:style>
  <w:style w:type="paragraph" w:customStyle="1" w:styleId="26">
    <w:name w:val="Intense Quote"/>
    <w:basedOn w:val="0"/>
    <w:next w:val="0"/>
    <w:pPr>
      <w:pBdr>
        <w:top w:val="single" w:sz="4" w:space="10" w:color="2F5496"/>
        <w:bottom w:val="single" w:sz="4" w:space="10" w:color="2F5496"/>
      </w:pBdr>
      <w:spacing w:before="360" w:after="360"/>
      <w:ind w:left="864" w:right="864"/>
      <w:jc w:val="center"/>
    </w:pPr>
    <w:rPr>
      <w:i/>
      <w:iCs/>
      <w:color w:val="2F5496"/>
    </w:rPr>
  </w:style>
  <w:style w:type="character" w:customStyle="1" w:styleId="27">
    <w:name w:val="明显参考1"/>
    <w:basedOn w:val="10"/>
    <w:rPr>
      <w:b/>
      <w:bCs/>
      <w:caps w:val="0"/>
      <w:smallCaps/>
      <w:color w:val="2F5496"/>
      <w:spacing w:val="5"/>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image" Target="media/2.png"/><Relationship Id="rId6" Type="http://schemas.openxmlformats.org/officeDocument/2006/relationships/footer" Target="footer3.xml"/><Relationship Id="rId7" Type="http://schemas.openxmlformats.org/officeDocument/2006/relationships/styles" Target="styles.xml"/><Relationship Id="rId8" Type="http://schemas.openxmlformats.org/officeDocument/2006/relationships/numbering" Target="numbering.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102</TotalTime>
  <Application>Honor_Office</Application>
  <Pages>58</Pages>
  <Words>43578</Words>
  <Characters>46226</Characters>
  <Lines>1735</Lines>
  <Paragraphs>575</Paragraphs>
  <CharactersWithSpaces>46324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Yawen Zheng</dc:creator>
  <cp:lastModifiedBy>HONOR Docs</cp:lastModifiedBy>
  <cp:revision>14</cp:revision>
  <cp:lastPrinted>2026-06-22T17:51:00Z</cp:lastPrinted>
  <dcterms:created xsi:type="dcterms:W3CDTF">2026-06-22T16:13:00Z</dcterms:created>
  <dcterms:modified xsi:type="dcterms:W3CDTF">2026-06-24T09:08:09Z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eyJoZGlkIjoiOTE4Mzk2YjliNTc0M2Q5NTQwNjc5MmQxYThhYjkyNTciLCJ1c2VySWQiOiI0NDYxODgzMjUifQ==</vt:lpwstr>
  </property>
  <property fmtid="{D5CDD505-2E9C-101B-9397-08002B2CF9AE}" pid="3" name="KSOProductBuildVer">
    <vt:lpwstr>2052-12.1.0.26895</vt:lpwstr>
  </property>
  <property fmtid="{D5CDD505-2E9C-101B-9397-08002B2CF9AE}" pid="4" name="ICV">
    <vt:lpwstr>937088FF1280436F9B5241C4E788AB33_12</vt:lpwstr>
  </property>
</Properties>
</file>