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</w:pPr>
      <w:r>
        <w:rPr>
          <w:sz w:val="24"/>
        </w:rPr>
        <w:t xml:space="preserve"> </w:t>
      </w:r>
    </w:p>
    <w:p>
      <w:pPr>
        <w:spacing w:before="0" w:after="0"/>
      </w:pPr>
      <w:r>
        <w:rPr>
          <w:sz w:val="24"/>
        </w:rPr>
        <w:t xml:space="preserve"> </w:t>
      </w:r>
    </w:p>
    <w:p>
      <w:pPr>
        <w:spacing w:before="0" w:after="0"/>
      </w:pPr>
      <w:r>
        <w:rPr>
          <w:sz w:val="24"/>
        </w:rPr>
        <w:t xml:space="preserve"> </w:t>
      </w:r>
    </w:p>
    <w:p>
      <w:pPr>
        <w:spacing w:before="0" w:after="0"/>
      </w:pPr>
      <w:r>
        <w:rPr>
          <w:sz w:val="24"/>
        </w:rPr>
        <w:t xml:space="preserve"> </w:t>
      </w:r>
    </w:p>
    <w:p>
      <w:bookmarkStart w:id="16526" w:name="_Toc0"/>
      <w:pPr>
        <w:pStyle w:val="Heading1"/>
        <w:spacing w:before="360" w:after="120"/>
        <w:jc w:val="center"/>
      </w:pPr>
      <w:r>
        <w:rPr>
          <w:rFonts w:ascii="黑体" w:hAnsi="黑体" w:eastAsia="黑体"/>
          <w:b w:val="0"/>
          <w:color w:val="1A3C6E"/>
          <w:sz w:val="44"/>
        </w:rPr>
        <w:t>算电协同 · 上市公司结盟与产业赋能机会（出资人简版）</w:t>
      </w:r>
      <w:bookmarkEnd w:id="16526"/>
    </w:p>
    <w:p>
      <w:r>
        <w:rPr>
          <w:rFonts w:ascii="微软雅黑" w:hAnsi="微软雅黑" w:eastAsia="微软雅黑"/>
        </w:rPr>
        <w:t>仅供合格投资者参阅 ｜ 已脱敏，标的与主体均以代号表述，不指向任何特定上市公司 ｜ 2026</w:t>
      </w:r>
    </w:p>
    <w:p>
      <w:pPr>
        <w:spacing w:before="360" w:after="360"/>
        <w:jc w:val="center"/>
        <w:pBdr>
          <w:bottom w:val="single" w:sz="6" w:space="1" w:color="1A3C6E"/>
        </w:pBdr>
      </w:pPr>
    </w:p>
    <w:p>
      <w:bookmarkStart w:id="665253" w:name="_Toc1"/>
      <w:pPr>
        <w:pStyle w:val="Heading2"/>
        <w:spacing w:before="120" w:after="320"/>
        <w:jc w:val="center"/>
      </w:pPr>
      <w:r>
        <w:rPr>
          <w:rFonts w:ascii="黑体" w:hAnsi="黑体" w:eastAsia="黑体"/>
          <w:b w:val="0"/>
          <w:color w:val="1A3C6E"/>
          <w:sz w:val="32"/>
        </w:rPr>
        <w:t>一、机会</w:t>
      </w:r>
      <w:bookmarkEnd w:id="665253"/>
    </w:p>
    <w:p>
      <w:r>
        <w:rPr>
          <w:rFonts w:ascii="微软雅黑" w:hAnsi="微软雅黑" w:eastAsia="微软雅黑"/>
        </w:rPr>
        <w:t>与一家 A 股算电协同方向上市公司（</w:t>
      </w:r>
      <w:r>
        <w:rPr>
          <w:rFonts w:ascii="微软雅黑" w:hAnsi="微软雅黑" w:eastAsia="微软雅黑"/>
          <w:b/>
        </w:rPr>
        <w:t>H 公司</w:t>
      </w:r>
      <w:r>
        <w:rPr>
          <w:rFonts w:ascii="微软雅黑" w:hAnsi="微软雅黑" w:eastAsia="微软雅黑"/>
        </w:rPr>
        <w:t>）的</w:t>
      </w:r>
      <w:r>
        <w:rPr>
          <w:rFonts w:ascii="微软雅黑" w:hAnsi="微软雅黑" w:eastAsia="微软雅黑"/>
          <w:b/>
        </w:rPr>
        <w:t>第一大股东达成战略结盟</w:t>
      </w:r>
      <w:r>
        <w:rPr>
          <w:rFonts w:ascii="微软雅黑" w:hAnsi="微软雅黑" w:eastAsia="微软雅黑"/>
        </w:rPr>
        <w:t>，通过产业基金引入长线资金、承接二股东老股以稳定股权、导入大额产业订单并注入优质算力资产，</w:t>
      </w:r>
      <w:r>
        <w:rPr>
          <w:rFonts w:ascii="微软雅黑" w:hAnsi="微软雅黑" w:eastAsia="微软雅黑"/>
          <w:b/>
        </w:rPr>
        <w:t>用可控的现金投入，分享一个市值有望做大数倍的产业平台成长红利</w:t>
      </w:r>
      <w:r>
        <w:rPr>
          <w:rFonts w:ascii="微软雅黑" w:hAnsi="微软雅黑" w:eastAsia="微软雅黑"/>
        </w:rPr>
        <w:t>。</w:t>
      </w:r>
    </w:p>
    <w:p>
      <w:bookmarkStart w:id="124081" w:name="_Toc2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二、为什么是现在（窗口）</w:t>
      </w:r>
      <w:bookmarkEnd w:id="124081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窗口</w:t>
            </w:r>
          </w:p>
        </w:tc>
        <w:tc>
          <w:tcPr>
            <w:tcW w:type="dxa" w:w="28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说明</w:t>
            </w:r>
          </w:p>
        </w:tc>
        <w:tc>
          <w:tcPr>
            <w:tcW w:type="dxa" w:w="28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对我们的意义</w:t>
            </w:r>
          </w:p>
        </w:tc>
      </w:tr>
      <w:tr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大股东愿意结盟</w:t>
            </w:r>
          </w:p>
        </w:tc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第一大股东（约 27.91%）寻求产业资源与长线资金，愿与产业资本深度绑定</w:t>
            </w:r>
          </w:p>
        </w:tc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拿到大股东绝对支持，落地阻力极低</w:t>
            </w:r>
          </w:p>
        </w:tc>
      </w:tr>
      <w:tr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二股东愿意退出</w:t>
            </w:r>
          </w:p>
        </w:tc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第二大股东（S，约 12.84%）已在减持通道、有出售意愿</w:t>
            </w:r>
          </w:p>
        </w:tc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友好协议承接，一举消除二级抛压、做厚联盟股权</w:t>
            </w:r>
          </w:p>
        </w:tc>
      </w:tr>
      <w:tr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算电协同景气</w:t>
            </w:r>
          </w:p>
        </w:tc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液冷/智算/绿电算力处于产业拐点</w:t>
            </w:r>
          </w:p>
        </w:tc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有真实大额订单与可注入资产，业绩与估值双驱动</w:t>
            </w:r>
          </w:p>
        </w:tc>
      </w:tr>
    </w:tbl>
    <w:p>
      <w:bookmarkStart w:id="563408" w:name="_Toc3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三、我们怎么做（五步组合拳）</w:t>
      </w:r>
      <w:bookmarkEnd w:id="563408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#</w:t>
            </w:r>
          </w:p>
        </w:tc>
        <w:tc>
          <w:tcPr>
            <w:tcW w:type="dxa" w:w="28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措施</w:t>
            </w:r>
          </w:p>
        </w:tc>
        <w:tc>
          <w:tcPr>
            <w:tcW w:type="dxa" w:w="28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作用</w:t>
            </w:r>
          </w:p>
        </w:tc>
      </w:tr>
      <w:tr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①</w:t>
            </w:r>
          </w:p>
        </w:tc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产业基金落地</w:t>
            </w:r>
          </w:p>
        </w:tc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引入长线资金，作为后续动作的资金与治理载体</w:t>
            </w:r>
          </w:p>
        </w:tc>
      </w:tr>
      <w:tr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②</w:t>
            </w:r>
          </w:p>
        </w:tc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结盟大股东</w:t>
            </w:r>
          </w:p>
        </w:tc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签一致行动人协议 + 适度增持 → 联盟合计约 42.8%，协议签署即获稳固控盘地位</w:t>
            </w:r>
          </w:p>
        </w:tc>
      </w:tr>
      <w:tr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③</w:t>
            </w:r>
          </w:p>
        </w:tc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承接二股东老股</w:t>
            </w:r>
          </w:p>
        </w:tc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协议受让 S 股份 12.84%，消除抛压、稳定股价，为后续注入做厚基础</w:t>
            </w:r>
          </w:p>
        </w:tc>
      </w:tr>
      <w:tr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④</w:t>
            </w:r>
          </w:p>
        </w:tc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导入产业订单</w:t>
            </w:r>
          </w:p>
        </w:tc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大额液冷/算力订单进上市公司，毛利 10–15%，贡献数亿净利</w:t>
            </w:r>
          </w:p>
        </w:tc>
      </w:tr>
      <w:tr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⑤</w:t>
            </w:r>
          </w:p>
        </w:tc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注入算力资产</w:t>
            </w:r>
          </w:p>
        </w:tc>
        <w:tc>
          <w:tcPr>
            <w:tcW w:type="dxa" w:w="28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发行股份购买优质算电协同资产，转型平台、估值跃迁</w:t>
            </w:r>
          </w:p>
        </w:tc>
      </w:tr>
    </w:tbl>
    <w:p>
      <w:r>
        <w:rPr>
          <w:rFonts w:ascii="微软雅黑" w:hAnsi="微软雅黑" w:eastAsia="微软雅黑"/>
        </w:rPr>
        <w:t>逻辑闭环：</w:t>
      </w:r>
      <w:r>
        <w:rPr>
          <w:rFonts w:ascii="微软雅黑" w:hAnsi="微软雅黑" w:eastAsia="微软雅黑"/>
          <w:b/>
        </w:rPr>
        <w:t>资金（②①）→ 控盘（②③）→ 业绩（④）→ 估值（⑤）→ 市值做大 → 各方共赢退出</w:t>
      </w:r>
      <w:r>
        <w:rPr>
          <w:rFonts w:ascii="微软雅黑" w:hAnsi="微软雅黑" w:eastAsia="微软雅黑"/>
        </w:rPr>
        <w:t>。</w:t>
      </w:r>
    </w:p>
    <w:p>
      <w:bookmarkStart w:id="79336" w:name="_Toc4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四、出资人的角色与资金用途</w:t>
      </w:r>
      <w:bookmarkEnd w:id="79336"/>
    </w:p>
    <w:p>
      <w:pPr>
        <w:pStyle w:val="ListBullet"/>
        <w:spacing w:before="0" w:after="60" w:line="276" w:lineRule="auto"/>
      </w:pPr>
      <w:r>
        <w:t>角色：作为产业基金的 LP（有限合伙人），由持牌/备案管理人（A 资本）担任 GP；</w:t>
      </w:r>
    </w:p>
    <w:p>
      <w:pPr>
        <w:pStyle w:val="ListBullet"/>
        <w:spacing w:before="0" w:after="60" w:line="276" w:lineRule="auto"/>
      </w:pPr>
      <w:r>
        <w:t>资金用途：① 产业基金对产业项目的投资；② 承接二股东老股的协议受让对价；③ 配套认购；</w:t>
      </w:r>
    </w:p>
    <w:p>
      <w:pPr>
        <w:pStyle w:val="ListBullet"/>
        <w:spacing w:before="0" w:after="60" w:line="276" w:lineRule="auto"/>
      </w:pPr>
      <w:r>
        <w:t>隔离设计：基金与老股受让 SPV 物理隔离，权责清晰、风险隔离；</w:t>
      </w:r>
    </w:p>
    <w:p>
      <w:pPr>
        <w:pStyle w:val="ListBullet"/>
        <w:spacing w:before="0" w:after="60" w:line="276" w:lineRule="auto"/>
      </w:pPr>
      <w:r>
        <w:t>治理：投决会独立运作、关联交易回避机制、托管行监督。</w:t>
      </w:r>
    </w:p>
    <w:p>
      <w:bookmarkStart w:id="76009" w:name="_Toc5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五、预期回报（约数 · 中性情形）</w:t>
      </w:r>
      <w:bookmarkEnd w:id="76009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4320"/>
        <w:gridCol w:w="4320"/>
      </w:tblGrid>
      <w:tr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指标</w:t>
            </w:r>
          </w:p>
        </w:tc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区间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联盟合计持股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约 42.8%（不做资产注入）· 44%–50%（完成资产注入）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基金主要回报来源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上市公司市值增长 + 产业项目现金流 + 老股增值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退出路径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IPO 已具备（标的为上市公司）→ 大宗/协议减持、分红、并购退出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持有期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3–5 年</w:t>
            </w:r>
          </w:p>
        </w:tc>
      </w:tr>
      <w:tr>
        <w:tc>
          <w:tcPr>
            <w:tcW w:type="dxa" w:w="432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目标回报</w:t>
            </w:r>
          </w:p>
        </w:tc>
        <w:tc>
          <w:tcPr>
            <w:tcW w:type="dxa" w:w="432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市值做大数倍背景下，力争数倍级别 MOIC（以最终签署条款与实际业绩为准）</w:t>
            </w:r>
          </w:p>
        </w:tc>
      </w:tr>
    </w:tbl>
    <w:p>
      <w:r>
        <w:rPr>
          <w:rFonts w:ascii="微软雅黑" w:hAnsi="微软雅黑" w:eastAsia="微软雅黑"/>
        </w:rPr>
        <w:t>退出确定性较高：标的已是上市公司，</w:t>
      </w:r>
      <w:r>
        <w:rPr>
          <w:rFonts w:ascii="微软雅黑" w:hAnsi="微软雅黑" w:eastAsia="微软雅黑"/>
          <w:b/>
        </w:rPr>
        <w:t>无需赌 IPO 窗口</w:t>
      </w:r>
      <w:r>
        <w:rPr>
          <w:rFonts w:ascii="微软雅黑" w:hAnsi="微软雅黑" w:eastAsia="微软雅黑"/>
        </w:rPr>
        <w:t>，退出工具多元。</w:t>
      </w:r>
    </w:p>
    <w:p>
      <w:bookmarkStart w:id="901322" w:name="_Toc6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六、风控与合规（我们坚守三条铁律）</w:t>
      </w:r>
      <w:bookmarkEnd w:id="901322"/>
    </w:p>
    <w:p>
      <w:pPr>
        <w:numPr>
          <w:ilvl w:val="0"/>
          <w:numId w:val="10"/>
        </w:numPr>
        <w:pStyle w:val="ListNumber"/>
        <w:spacing w:before="0" w:after="60" w:line="276" w:lineRule="auto"/>
      </w:pPr>
      <w:r>
        <w:t>结构干净：所有资金安排公允定价、不做对价闭环、不碰上市公司资金与担保；</w:t>
      </w:r>
    </w:p>
    <w:p>
      <w:pPr>
        <w:pStyle w:val="ListNumber"/>
        <w:spacing w:before="0" w:after="60" w:line="276" w:lineRule="auto"/>
      </w:pPr>
      <w:r>
        <w:t>交易真实：只做真实可交付的订单与权属清晰的资产，杜绝任何虚构；</w:t>
      </w:r>
    </w:p>
    <w:p>
      <w:pPr>
        <w:pStyle w:val="ListNumber"/>
        <w:spacing w:before="0" w:after="60" w:line="276" w:lineRule="auto"/>
      </w:pPr>
      <w:r>
        <w:t>披露及时：一致行动、关联交易、老股承接、资产注入全部依法披露，前置专项法律意见。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4320"/>
        <w:gridCol w:w="4320"/>
      </w:tblGrid>
      <w:tr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风险</w:t>
            </w:r>
          </w:p>
        </w:tc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缓释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监管/合规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交易律师 + 财顾 + 评估机构全套前置，应披尽披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估值波动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多元退出（大宗+协议+分红+并购）、分批择机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出资节奏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基金分期实缴 + 过桥安排解耦交割时点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标的经营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真实订单与现金流资产支撑业绩，非纯概念</w:t>
            </w:r>
          </w:p>
        </w:tc>
      </w:tr>
    </w:tbl>
    <w:p>
      <w:bookmarkStart w:id="105791" w:name="_Toc7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七、时间表（12 个月闭环）</w:t>
      </w:r>
      <w:bookmarkEnd w:id="105791"/>
    </w:p>
    <w:p>
      <w:pPr>
        <w:shd w:fill="F5F5F5" w:val="clear"/>
        <w:spacing w:before="0" w:after="0" w:line="240" w:lineRule="auto"/>
      </w:pPr>
      <w:r>
        <w:rPr>
          <w:rFonts w:ascii="Consolas" w:hAnsi="Consolas" w:eastAsia="新宋体"/>
          <w:color w:val="333333"/>
          <w:sz w:val="18"/>
        </w:rPr>
        <w:t>T+1M 基金框架   T+4M 基金到资   T+6M 接S+结盟披露   T+9M 订单落地   T+12M 资产注入预案</w:t>
      </w:r>
    </w:p>
    <w:p>
      <w:bookmarkStart w:id="758299" w:name="_Toc8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八、出资条款摘要（待定稿）</w:t>
      </w:r>
      <w:bookmarkEnd w:id="758299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4320"/>
        <w:gridCol w:w="4320"/>
      </w:tblGrid>
      <w:tr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条款</w:t>
            </w:r>
          </w:p>
        </w:tc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内容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基金类型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有限合伙产业基金（私募备案）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GP / 管理人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A 资本（持牌/备案）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目标规模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数亿级（首期）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管理费 / Carry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2% / 20%（Hurdle 待定）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投资期 / 退出期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待定（建议 3+2 年）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托管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商业银行托管</w:t>
            </w:r>
          </w:p>
        </w:tc>
      </w:tr>
    </w:tbl>
    <w:p>
      <w:r>
        <w:rPr>
          <w:rFonts w:ascii="微软雅黑" w:hAnsi="微软雅黑" w:eastAsia="微软雅黑"/>
        </w:rPr>
        <w:t>⚠ 以上条款为框架性表述，</w:t>
      </w:r>
      <w:r>
        <w:rPr>
          <w:rFonts w:ascii="微软雅黑" w:hAnsi="微软雅黑" w:eastAsia="微软雅黑"/>
          <w:b/>
        </w:rPr>
        <w:t>最终以 LPA 及签署文件为准</w:t>
      </w:r>
      <w:r>
        <w:rPr>
          <w:rFonts w:ascii="微软雅黑" w:hAnsi="微软雅黑" w:eastAsia="微软雅黑"/>
        </w:rPr>
        <w:t>。</w:t>
      </w:r>
    </w:p>
    <w:p>
      <w:pPr>
        <w:pStyle w:val="Quote"/>
      </w:pPr>
      <w:r>
        <w:t>📌 核心：以产业资源 + 长线资金与上市公司大股东结盟，顺势收编二股东、导入订单、注入资产，把一个数十亿市值的标的做成数倍成长的算电协同平台。</w:t>
      </w:r>
    </w:p>
    <w:p>
      <w:pPr>
        <w:pStyle w:val="Quote"/>
      </w:pPr>
      <w:r>
        <w:t>📌 本材料不构成要约或投资建议；所有数据为约数示意，具体以尽调与签署文件为准。</w:t>
      </w:r>
    </w:p>
    <w:p>
      <w:pPr>
        <w:pStyle w:val="Quote"/>
      </w:pPr>
      <w:r>
        <w:t>📅 2026 ｜ 仅供合格投资者参阅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76" w:lineRule="auto"/>
    </w:pPr>
    <w:rPr>
      <w:rFonts w:ascii="微软雅黑" w:hAnsi="微软雅黑" w:eastAsia="微软雅黑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ajorHAnsi" w:eastAsiaTheme="majorEastAsia" w:hAnsiTheme="majorHAnsi" w:cstheme="majorBidi"/>
      <w:b/>
      <w:bCs/>
      <w:color w:val="1A3C6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ajorHAnsi" w:eastAsiaTheme="majorEastAsia" w:hAnsiTheme="majorHAnsi" w:cstheme="majorBidi"/>
      <w:b/>
      <w:bCs/>
      <w:color w:val="1A3C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ajorHAnsi" w:eastAsiaTheme="majorEastAsia" w:hAnsiTheme="majorHAnsi" w:cstheme="majorBidi"/>
      <w:b/>
      <w:bCs/>
      <w:color w:val="1A3C6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ajorHAnsi" w:eastAsiaTheme="majorEastAsia" w:hAnsiTheme="majorHAnsi" w:cstheme="majorBidi"/>
      <w:b/>
      <w:bCs/>
      <w:i/>
      <w:iCs/>
      <w:color w:val="1A3C6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before="0" w:after="60" w:line="276" w:lineRule="auto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before="0" w:after="60" w:line="276" w:lineRule="auto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