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eastAsia="黑体" w:hAnsi="Times New Roman"/>
          <w:b/>
          <w:bCs/>
          <w:sz w:val="44"/>
          <w:szCs w:val="44"/>
        </w:rPr>
        <w:t xml:space="preserve">战略合作协议</w:t>
      </w:r>
    </w:p>
    <w:p>
      <w:pPr>
        <w:spacing w:after="200"/>
        <w:jc w:val="center"/>
      </w:pPr>
      <w:r>
        <w:rPr>
          <w:rFonts w:ascii="Times New Roman" w:eastAsia="楷体" w:hAnsi="Times New Roman"/>
          <w:sz w:val="26"/>
          <w:szCs w:val="26"/>
        </w:rPr>
        <w:t xml:space="preserve">（国产算力与液冷散热全面战略合作·完善版）</w:t>
      </w:r>
    </w:p>
    <w:p/>
    <w:p>
      <w:pPr>
        <w:spacing w:after="60" w:line="360" w:lineRule="auto"/>
      </w:pPr>
      <w:r>
        <w:rPr>
          <w:rFonts w:ascii="Times New Roman" w:eastAsia="宋体" w:hAnsi="Times New Roman"/>
          <w:sz w:val="24"/>
          <w:szCs w:val="24"/>
        </w:rPr>
        <w:t xml:space="preserve">协议编号：ZCHL-JLT-2026-001</w:t>
      </w:r>
    </w:p>
    <w:p>
      <w:pPr>
        <w:spacing w:after="60" w:line="360" w:lineRule="auto"/>
      </w:pPr>
      <w:r>
        <w:rPr>
          <w:rFonts w:ascii="Times New Roman" w:eastAsia="宋体" w:hAnsi="Times New Roman"/>
          <w:sz w:val="24"/>
          <w:szCs w:val="24"/>
        </w:rPr>
        <w:t xml:space="preserve">签订地点：____________</w:t>
      </w:r>
    </w:p>
    <w:p>
      <w:pPr>
        <w:spacing w:after="60" w:line="360" w:lineRule="auto"/>
      </w:pPr>
      <w:r>
        <w:rPr>
          <w:rFonts w:ascii="Times New Roman" w:eastAsia="宋体" w:hAnsi="Times New Roman"/>
          <w:sz w:val="24"/>
          <w:szCs w:val="24"/>
        </w:rPr>
        <w:t xml:space="preserve">签订日期：2026年____月____日</w:t>
      </w:r>
    </w:p>
    <w:p/>
    <w:p>
      <w:pPr>
        <w:spacing w:after="80" w:line="360" w:lineRule="auto"/>
      </w:pPr>
      <w:r>
        <w:rPr>
          <w:rFonts w:ascii="Times New Roman" w:eastAsia="宋体" w:hAnsi="Times New Roman"/>
          <w:b/>
          <w:bCs/>
          <w:sz w:val="24"/>
          <w:szCs w:val="24"/>
        </w:rPr>
        <w:t xml:space="preserve">甲方：</w:t>
      </w:r>
      <w:r>
        <w:rPr>
          <w:rFonts w:ascii="Times New Roman" w:eastAsia="宋体" w:hAnsi="Times New Roman"/>
          <w:sz w:val="24"/>
          <w:szCs w:val="24"/>
        </w:rPr>
        <w:t xml:space="preserve">中诚华隆计算机技术有限公司</w:t>
      </w:r>
    </w:p>
    <w:p>
      <w:pPr>
        <w:spacing w:after="60" w:line="360" w:lineRule="auto"/>
      </w:pPr>
      <w:r>
        <w:rPr>
          <w:rFonts w:ascii="Times New Roman" w:eastAsia="宋体" w:hAnsi="Times New Roman"/>
          <w:sz w:val="24"/>
          <w:szCs w:val="24"/>
        </w:rPr>
        <w:t xml:space="preserve">通讯地址：____________</w:t>
      </w:r>
    </w:p>
    <w:p>
      <w:pPr>
        <w:spacing w:after="80" w:line="360" w:lineRule="auto"/>
      </w:pPr>
      <w:r>
        <w:rPr>
          <w:rFonts w:ascii="Times New Roman" w:eastAsia="宋体" w:hAnsi="Times New Roman"/>
          <w:b/>
          <w:bCs/>
          <w:sz w:val="24"/>
          <w:szCs w:val="24"/>
        </w:rPr>
        <w:t xml:space="preserve">乙方：</w:t>
      </w:r>
      <w:r>
        <w:rPr>
          <w:rFonts w:ascii="Times New Roman" w:eastAsia="宋体" w:hAnsi="Times New Roman"/>
          <w:sz w:val="24"/>
          <w:szCs w:val="24"/>
        </w:rPr>
        <w:t xml:space="preserve">南京佳力图机房环境技术股份有限公司</w:t>
      </w:r>
    </w:p>
    <w:p>
      <w:pPr>
        <w:spacing w:after="60" w:line="360" w:lineRule="auto"/>
      </w:pPr>
      <w:r>
        <w:rPr>
          <w:rFonts w:ascii="Times New Roman" w:eastAsia="宋体" w:hAnsi="Times New Roman"/>
          <w:sz w:val="24"/>
          <w:szCs w:val="24"/>
        </w:rPr>
        <w:t xml:space="preserve">通讯地址：江苏省南京市江宁经济技术开发区苏源大道88号</w:t>
      </w:r>
    </w:p>
    <w:p>
      <w:pPr>
        <w:spacing w:after="60" w:line="360" w:lineRule="auto"/>
        <w:ind w:firstLine="480"/>
      </w:pPr>
      <w:r>
        <w:rPr>
          <w:rFonts w:ascii="Times New Roman" w:eastAsia="宋体" w:hAnsi="Times New Roman"/>
          <w:sz w:val="24"/>
          <w:szCs w:val="24"/>
        </w:rPr>
        <w:t xml:space="preserve">（甲方、乙方以下合称“双方”，单称“一方”。）</w:t>
      </w:r>
    </w:p>
    <w:p/>
    <w:p>
      <w:pPr>
        <w:spacing w:after="160" w:before="280"/>
      </w:pPr>
      <w:r>
        <w:rPr>
          <w:rFonts w:ascii="Times New Roman" w:eastAsia="黑体" w:hAnsi="Times New Roman"/>
          <w:b/>
          <w:bCs/>
          <w:sz w:val="30"/>
          <w:szCs w:val="30"/>
        </w:rPr>
        <w:t xml:space="preserve">第一条  签约背景与目的</w:t>
      </w:r>
    </w:p>
    <w:p>
      <w:pPr>
        <w:spacing w:after="60" w:line="360" w:lineRule="auto"/>
        <w:ind w:firstLine="480"/>
      </w:pPr>
      <w:r>
        <w:rPr>
          <w:rFonts w:ascii="Times New Roman" w:eastAsia="宋体" w:hAnsi="Times New Roman"/>
          <w:sz w:val="24"/>
          <w:szCs w:val="24"/>
        </w:rPr>
        <w:t xml:space="preserve">甲方中诚华隆计算机技术有限公司（以下简称“中诚华隆”）成立于2017年10月，是国内少数具备“芯片（GPU/CPU/QPU/SoC）+整机+解决方案”全栈自主可控能力的科技创新型企业。公司布局“三芯自研+三算一体”，立足申威技术、RISC-V技术、量子计算技术、可信计算技术等多元技术体系，拥有167项芯片领域发明专利，聚焦通算、智算、超算、存算、量子计算及太空算力等全栈算力基础设施建设。</w:t>
      </w:r>
    </w:p>
    <w:p>
      <w:pPr>
        <w:spacing w:after="60" w:line="360" w:lineRule="auto"/>
        <w:ind w:firstLine="480"/>
      </w:pPr>
      <w:r>
        <w:rPr>
          <w:rFonts w:ascii="Times New Roman" w:eastAsia="宋体" w:hAnsi="Times New Roman"/>
          <w:sz w:val="24"/>
          <w:szCs w:val="24"/>
        </w:rPr>
        <w:t xml:space="preserve">2025年，中诚华隆基于国内制造工艺成功研发并发布全国产AI大算力芯片HL100，搭载自研新一代“GPGPU+NPU”融合架构，FP16算力高达256 TFLOPS，搭载LPDDR5显存、单芯支持128GB超大容量。经工信部权威机构测评，HL100实测能耗低至65.33瓦，能效比突破3.41 TFLOPS/W，同等功耗下算力达到国外同类AI芯片的8倍，同等算力下总拥有成本仅为1/4。公司正积极布局多形态超节点乃至千卡集群，并规划了HL系列未来三代芯片产品（HL200、HL200Pro、HL400AI）。</w:t>
      </w:r>
    </w:p>
    <w:p>
      <w:pPr>
        <w:spacing w:after="60" w:line="360" w:lineRule="auto"/>
        <w:ind w:firstLine="480"/>
      </w:pPr>
      <w:r>
        <w:rPr>
          <w:rFonts w:ascii="Times New Roman" w:eastAsia="宋体" w:hAnsi="Times New Roman"/>
          <w:sz w:val="24"/>
          <w:szCs w:val="24"/>
        </w:rPr>
        <w:t xml:space="preserve">公司已构筑以北京总部为统筹、上海芯片研发、无锡整机研发、铜陵智能制造基地为支撑的核心产业载体，旗下拥有6大系列、30多款整机产品（包括AI服务器、桌面机及安全设备），已在全国范围内中标20个省市区的40多个标段项目。2026年，公司先后获得中国国际工程咨询有限公司（中咨公司）战略注资，并与中信证券正式签署全面合作协议，启动上市资本化进程。近期，公司连续中标中国电信、中国移动建设项目。</w:t>
      </w:r>
    </w:p>
    <w:p>
      <w:pPr>
        <w:spacing w:after="60" w:line="360" w:lineRule="auto"/>
        <w:ind w:firstLine="480"/>
      </w:pPr>
      <w:r>
        <w:rPr>
          <w:rFonts w:ascii="Times New Roman" w:eastAsia="宋体" w:hAnsi="Times New Roman"/>
          <w:sz w:val="24"/>
          <w:szCs w:val="24"/>
        </w:rPr>
        <w:t xml:space="preserve">乙方南京佳力图机房环境技术股份有限公司（股票代码：603912，以下简称“佳力图”）成立于2003年，专注于数据机房等精密环境控制技术的研发，为数据机房等精密环境控制领域提供节能、控温设备、一体化解决方案及相关节能技术服务，主要产品为精密空调设备及冷水机组产品。公司产品广泛应用于数据中心机房，客户涵盖政府部门以及通信、金融、互联网、医疗、轨道交通、航空、能源等众多行业。公司正积极关注算电协同发展趋势，探索“风光储+算力+液冷”等一体化业务模式。</w:t>
      </w:r>
    </w:p>
    <w:p>
      <w:pPr>
        <w:spacing w:after="60" w:line="360" w:lineRule="auto"/>
        <w:ind w:firstLine="480"/>
      </w:pPr>
      <w:r>
        <w:rPr>
          <w:rFonts w:ascii="Times New Roman" w:eastAsia="宋体" w:hAnsi="Times New Roman"/>
          <w:sz w:val="24"/>
          <w:szCs w:val="24"/>
        </w:rPr>
        <w:t xml:space="preserve">在液冷领域，佳力图具备全栈液冷自研能力（涵盖冷板式、浸没式等），2MW级CDU（冷量分配单元）已实现量产，CPU液冷方案具有军工项目落地经验。在太空算力温控领域，佳力图已与之江实验室三体计算星座项目团队开展深入交流，围绕太空计算基础设施的温控散热需求及地面液冷技术在航天应用场景下的转化前景进行对接。各方认为，地面液冷技术与极端环境温控研发经验可为太空算力热控方向提供重要参考。公司近期已与多家产业合作伙伴就航天级液冷模块在天基算力领域的应用前景进行了交流。</w:t>
      </w:r>
    </w:p>
    <w:p>
      <w:pPr>
        <w:spacing w:after="60" w:line="360" w:lineRule="auto"/>
        <w:ind w:firstLine="480"/>
      </w:pPr>
      <w:r>
        <w:rPr>
          <w:rFonts w:ascii="Times New Roman" w:eastAsia="宋体" w:hAnsi="Times New Roman"/>
          <w:sz w:val="24"/>
          <w:szCs w:val="24"/>
        </w:rPr>
        <w:t xml:space="preserve">乙方全资子公司南京楷德悠云数据有限公司投资建设的南京楷德悠云数据中心，位于南京江宁区，总投资约15亿元，规划总容量8400架机柜，定位为面向智算的新一代灵活、弹性、绿色数据中心。其中一期项目已于2024年12月建设完成并通电，达到预定可使用状态，已中标相关客户，将根据客户要求逐步交付；二、三期项目合计规划建设5600架机柜，正按计划推进。该数据中心正转型为混合性、综合型智算中心，积极响应“东数西算”战略，构建“绿色算力生产＋算网融合调度＋产业场景落地”三位一体模式。</w:t>
      </w:r>
    </w:p>
    <w:p>
      <w:pPr>
        <w:spacing w:after="60" w:line="360" w:lineRule="auto"/>
        <w:ind w:firstLine="480"/>
      </w:pPr>
      <w:r>
        <w:rPr>
          <w:rFonts w:ascii="Times New Roman" w:eastAsia="宋体" w:hAnsi="Times New Roman"/>
          <w:sz w:val="24"/>
          <w:szCs w:val="24"/>
        </w:rPr>
        <w:t xml:space="preserve">基于双方在国产算力产业链上下游的高度互补优势，尤其是在超节点高密度算力液冷散热及太空算力温控等前沿领域的技术协同潜力，经友好协商，达成如下战略合作协议，以资共同遵守。</w:t>
      </w:r>
    </w:p>
    <w:p>
      <w:pPr>
        <w:spacing w:after="160" w:before="280"/>
      </w:pPr>
      <w:r>
        <w:rPr>
          <w:rFonts w:ascii="Times New Roman" w:eastAsia="黑体" w:hAnsi="Times New Roman"/>
          <w:b/>
          <w:bCs/>
          <w:sz w:val="30"/>
          <w:szCs w:val="30"/>
        </w:rPr>
        <w:t xml:space="preserve">第二条  定义与释义</w:t>
      </w:r>
    </w:p>
    <w:p>
      <w:pPr>
        <w:spacing w:after="60" w:line="360" w:lineRule="auto"/>
        <w:ind w:firstLine="480"/>
      </w:pPr>
      <w:r>
        <w:rPr>
          <w:rFonts w:ascii="Times New Roman" w:eastAsia="宋体" w:hAnsi="Times New Roman"/>
          <w:sz w:val="24"/>
          <w:szCs w:val="24"/>
        </w:rPr>
        <w:t xml:space="preserve">除非本协议另有约定，下列用语在本协议中具有如下含义：</w:t>
      </w:r>
    </w:p>
    <w:p>
      <w:pPr>
        <w:spacing w:after="60" w:line="360" w:lineRule="auto"/>
        <w:ind w:firstLine="480"/>
      </w:pPr>
      <w:r>
        <w:rPr>
          <w:rFonts w:ascii="Times New Roman" w:eastAsia="宋体" w:hAnsi="Times New Roman"/>
          <w:b/>
          <w:bCs/>
          <w:sz w:val="24"/>
          <w:szCs w:val="24"/>
        </w:rPr>
        <w:t xml:space="preserve">（一）“HL系列芯片”：</w:t>
      </w:r>
      <w:r>
        <w:rPr>
          <w:rFonts w:ascii="Times New Roman" w:eastAsia="宋体" w:hAnsi="Times New Roman"/>
          <w:sz w:val="24"/>
          <w:szCs w:val="24"/>
        </w:rPr>
        <w:t xml:space="preserve">指甲方自主研发的国产AI大算力芯片系列，包括已发布的HL100及规划中的HL200、HL200Pro、HL400AI等后续产品。</w:t>
      </w:r>
    </w:p>
    <w:p>
      <w:pPr>
        <w:spacing w:after="60" w:line="360" w:lineRule="auto"/>
        <w:ind w:firstLine="480"/>
      </w:pPr>
      <w:r>
        <w:rPr>
          <w:rFonts w:ascii="Times New Roman" w:eastAsia="宋体" w:hAnsi="Times New Roman"/>
          <w:b/>
          <w:bCs/>
          <w:sz w:val="24"/>
          <w:szCs w:val="24"/>
        </w:rPr>
        <w:t xml:space="preserve">（二）“超节点”：</w:t>
      </w:r>
      <w:r>
        <w:rPr>
          <w:rFonts w:ascii="Times New Roman" w:eastAsia="宋体" w:hAnsi="Times New Roman"/>
          <w:sz w:val="24"/>
          <w:szCs w:val="24"/>
        </w:rPr>
        <w:t xml:space="preserve">指通过高速互联技术将数十至数百颗算力芯片整合为统一算力单元的高密度计算系统，及其扩展形成的千卡级算力集群。</w:t>
      </w:r>
    </w:p>
    <w:p>
      <w:pPr>
        <w:spacing w:after="60" w:line="360" w:lineRule="auto"/>
        <w:ind w:firstLine="480"/>
      </w:pPr>
      <w:r>
        <w:rPr>
          <w:rFonts w:ascii="Times New Roman" w:eastAsia="宋体" w:hAnsi="Times New Roman"/>
          <w:b/>
          <w:bCs/>
          <w:sz w:val="24"/>
          <w:szCs w:val="24"/>
        </w:rPr>
        <w:t xml:space="preserve">（三）“液冷CDU”：</w:t>
      </w:r>
      <w:r>
        <w:rPr>
          <w:rFonts w:ascii="Times New Roman" w:eastAsia="宋体" w:hAnsi="Times New Roman"/>
          <w:sz w:val="24"/>
          <w:szCs w:val="24"/>
        </w:rPr>
        <w:t xml:space="preserve">指冷量分配单元（Coolant Distribution Unit），是液冷散热系统中实现冷却液分配、循环与换热控制的核心设备。</w:t>
      </w:r>
    </w:p>
    <w:p>
      <w:pPr>
        <w:spacing w:after="60" w:line="360" w:lineRule="auto"/>
        <w:ind w:firstLine="480"/>
      </w:pPr>
      <w:r>
        <w:rPr>
          <w:rFonts w:ascii="Times New Roman" w:eastAsia="宋体" w:hAnsi="Times New Roman"/>
          <w:b/>
          <w:bCs/>
          <w:sz w:val="24"/>
          <w:szCs w:val="24"/>
        </w:rPr>
        <w:t xml:space="preserve">（四）“PUE”：</w:t>
      </w:r>
      <w:r>
        <w:rPr>
          <w:rFonts w:ascii="Times New Roman" w:eastAsia="宋体" w:hAnsi="Times New Roman"/>
          <w:sz w:val="24"/>
          <w:szCs w:val="24"/>
        </w:rPr>
        <w:t xml:space="preserve">指电能利用效率（Power Usage Effectiveness），为数据中心总能耗与IT设备能耗之比，数值越接近1表明能效越高。</w:t>
      </w:r>
    </w:p>
    <w:p>
      <w:pPr>
        <w:spacing w:after="60" w:line="360" w:lineRule="auto"/>
        <w:ind w:firstLine="480"/>
      </w:pPr>
      <w:r>
        <w:rPr>
          <w:rFonts w:ascii="Times New Roman" w:eastAsia="宋体" w:hAnsi="Times New Roman"/>
          <w:b/>
          <w:bCs/>
          <w:sz w:val="24"/>
          <w:szCs w:val="24"/>
        </w:rPr>
        <w:t xml:space="preserve">（五）“太空算力”：</w:t>
      </w:r>
      <w:r>
        <w:rPr>
          <w:rFonts w:ascii="Times New Roman" w:eastAsia="宋体" w:hAnsi="Times New Roman"/>
          <w:sz w:val="24"/>
          <w:szCs w:val="24"/>
        </w:rPr>
        <w:t xml:space="preserve">指将人工智能算力节点部署至太空轨道，利用太空太阳能与天然低温环境运行的算力基础设施形态。</w:t>
      </w:r>
    </w:p>
    <w:p>
      <w:pPr>
        <w:spacing w:after="60" w:line="360" w:lineRule="auto"/>
        <w:ind w:firstLine="480"/>
      </w:pPr>
      <w:r>
        <w:rPr>
          <w:rFonts w:ascii="Times New Roman" w:eastAsia="宋体" w:hAnsi="Times New Roman"/>
          <w:b/>
          <w:bCs/>
          <w:sz w:val="24"/>
          <w:szCs w:val="24"/>
        </w:rPr>
        <w:t xml:space="preserve">（六）“算力Token化运营”：</w:t>
      </w:r>
      <w:r>
        <w:rPr>
          <w:rFonts w:ascii="Times New Roman" w:eastAsia="宋体" w:hAnsi="Times New Roman"/>
          <w:sz w:val="24"/>
          <w:szCs w:val="24"/>
        </w:rPr>
        <w:t xml:space="preserve">指将算力资源标准化为可按量计量、按需交付的Token化服务并进行运营的商业模式。</w:t>
      </w:r>
    </w:p>
    <w:p>
      <w:pPr>
        <w:spacing w:after="60" w:line="360" w:lineRule="auto"/>
        <w:ind w:firstLine="480"/>
      </w:pPr>
      <w:r>
        <w:rPr>
          <w:rFonts w:ascii="Times New Roman" w:eastAsia="宋体" w:hAnsi="Times New Roman"/>
          <w:b/>
          <w:bCs/>
          <w:sz w:val="24"/>
          <w:szCs w:val="24"/>
        </w:rPr>
        <w:t xml:space="preserve">（七）“楷德悠云数据中心”：</w:t>
      </w:r>
      <w:r>
        <w:rPr>
          <w:rFonts w:ascii="Times New Roman" w:eastAsia="宋体" w:hAnsi="Times New Roman"/>
          <w:sz w:val="24"/>
          <w:szCs w:val="24"/>
        </w:rPr>
        <w:t xml:space="preserve">指乙方全资子公司南京楷德悠云数据有限公司投资建设的南京楷德悠云数据中心及其运营的算力基础设施。</w:t>
      </w:r>
    </w:p>
    <w:p>
      <w:pPr>
        <w:spacing w:after="160" w:before="280"/>
      </w:pPr>
      <w:r>
        <w:rPr>
          <w:rFonts w:ascii="Times New Roman" w:eastAsia="黑体" w:hAnsi="Times New Roman"/>
          <w:b/>
          <w:bCs/>
          <w:sz w:val="30"/>
          <w:szCs w:val="30"/>
        </w:rPr>
        <w:t xml:space="preserve">第三条  合作原则</w:t>
      </w:r>
    </w:p>
    <w:p>
      <w:pPr>
        <w:spacing w:after="60" w:line="360" w:lineRule="auto"/>
        <w:ind w:firstLine="480"/>
      </w:pPr>
      <w:r>
        <w:rPr>
          <w:rFonts w:ascii="Times New Roman" w:eastAsia="宋体" w:hAnsi="Times New Roman"/>
          <w:b/>
          <w:bCs/>
          <w:sz w:val="24"/>
          <w:szCs w:val="24"/>
        </w:rPr>
        <w:t xml:space="preserve">（一）优势互补：</w:t>
      </w:r>
      <w:r>
        <w:rPr>
          <w:rFonts w:ascii="Times New Roman" w:eastAsia="宋体" w:hAnsi="Times New Roman"/>
          <w:sz w:val="24"/>
          <w:szCs w:val="24"/>
        </w:rPr>
        <w:t xml:space="preserve">发挥甲方在国产算力芯片（特别是HL100系列）、整机、超节点集群及全栈解决方案（含太空算力）领域的技术优势，结合乙方在数据中心精密环境控制、液冷散热、节能管理及太空算力温控领域的专业能力，以及楷德悠云数据中心的基础设施与运营能力。</w:t>
      </w:r>
    </w:p>
    <w:p>
      <w:pPr>
        <w:spacing w:after="60" w:line="360" w:lineRule="auto"/>
        <w:ind w:firstLine="480"/>
      </w:pPr>
      <w:r>
        <w:rPr>
          <w:rFonts w:ascii="Times New Roman" w:eastAsia="宋体" w:hAnsi="Times New Roman"/>
          <w:b/>
          <w:bCs/>
          <w:sz w:val="24"/>
          <w:szCs w:val="24"/>
        </w:rPr>
        <w:t xml:space="preserve">（二）协同创新：</w:t>
      </w:r>
      <w:r>
        <w:rPr>
          <w:rFonts w:ascii="Times New Roman" w:eastAsia="宋体" w:hAnsi="Times New Roman"/>
          <w:sz w:val="24"/>
          <w:szCs w:val="24"/>
        </w:rPr>
        <w:t xml:space="preserve">共同推进国产算力基础设施的自主可控与规模化落地，在超节点液冷技术及太空算力温控方向上实现联合突破。</w:t>
      </w:r>
    </w:p>
    <w:p>
      <w:pPr>
        <w:spacing w:after="60" w:line="360" w:lineRule="auto"/>
        <w:ind w:firstLine="480"/>
      </w:pPr>
      <w:r>
        <w:rPr>
          <w:rFonts w:ascii="Times New Roman" w:eastAsia="宋体" w:hAnsi="Times New Roman"/>
          <w:b/>
          <w:bCs/>
          <w:sz w:val="24"/>
          <w:szCs w:val="24"/>
        </w:rPr>
        <w:t xml:space="preserve">（三）绿色低碳：</w:t>
      </w:r>
      <w:r>
        <w:rPr>
          <w:rFonts w:ascii="Times New Roman" w:eastAsia="宋体" w:hAnsi="Times New Roman"/>
          <w:sz w:val="24"/>
          <w:szCs w:val="24"/>
        </w:rPr>
        <w:t xml:space="preserve">坚持绿色低碳发展路径，以液冷散热与算电协同为抓手，共同推动PUE持续优化与算力能效提升。</w:t>
      </w:r>
    </w:p>
    <w:p>
      <w:pPr>
        <w:spacing w:after="60" w:line="360" w:lineRule="auto"/>
        <w:ind w:firstLine="480"/>
      </w:pPr>
      <w:r>
        <w:rPr>
          <w:rFonts w:ascii="Times New Roman" w:eastAsia="宋体" w:hAnsi="Times New Roman"/>
          <w:b/>
          <w:bCs/>
          <w:sz w:val="24"/>
          <w:szCs w:val="24"/>
        </w:rPr>
        <w:t xml:space="preserve">（四）安全可控：</w:t>
      </w:r>
      <w:r>
        <w:rPr>
          <w:rFonts w:ascii="Times New Roman" w:eastAsia="宋体" w:hAnsi="Times New Roman"/>
          <w:sz w:val="24"/>
          <w:szCs w:val="24"/>
        </w:rPr>
        <w:t xml:space="preserve">坚持算力安全、数据安全底线，依托国产芯片与自主液冷技术构建安全可控的算力基础设施体系。</w:t>
      </w:r>
    </w:p>
    <w:p>
      <w:pPr>
        <w:spacing w:after="60" w:line="360" w:lineRule="auto"/>
        <w:ind w:firstLine="480"/>
      </w:pPr>
      <w:r>
        <w:rPr>
          <w:rFonts w:ascii="Times New Roman" w:eastAsia="宋体" w:hAnsi="Times New Roman"/>
          <w:b/>
          <w:bCs/>
          <w:sz w:val="24"/>
          <w:szCs w:val="24"/>
        </w:rPr>
        <w:t xml:space="preserve">（五）长期合作：</w:t>
      </w:r>
      <w:r>
        <w:rPr>
          <w:rFonts w:ascii="Times New Roman" w:eastAsia="宋体" w:hAnsi="Times New Roman"/>
          <w:sz w:val="24"/>
          <w:szCs w:val="24"/>
        </w:rPr>
        <w:t xml:space="preserve">建立全方位、多层次的战略合作关系，坚持收益共享、风险共担，实现互利共赢。</w:t>
      </w:r>
    </w:p>
    <w:p>
      <w:pPr>
        <w:spacing w:after="160" w:before="280"/>
      </w:pPr>
      <w:r>
        <w:rPr>
          <w:rFonts w:ascii="Times New Roman" w:eastAsia="黑体" w:hAnsi="Times New Roman"/>
          <w:b/>
          <w:bCs/>
          <w:sz w:val="30"/>
          <w:szCs w:val="30"/>
        </w:rPr>
        <w:t xml:space="preserve">第四条  合作目标</w:t>
      </w:r>
    </w:p>
    <w:p>
      <w:pPr>
        <w:spacing w:after="60" w:line="360" w:lineRule="auto"/>
        <w:ind w:firstLine="480"/>
      </w:pPr>
      <w:r>
        <w:rPr>
          <w:rFonts w:ascii="Times New Roman" w:eastAsia="宋体" w:hAnsi="Times New Roman"/>
          <w:sz w:val="24"/>
          <w:szCs w:val="24"/>
        </w:rPr>
        <w:t xml:space="preserve">通过本次战略合作，双方共同致力于实现以下目标：</w:t>
      </w:r>
    </w:p>
    <w:p>
      <w:pPr>
        <w:spacing w:after="60" w:line="360" w:lineRule="auto"/>
        <w:ind w:firstLine="480"/>
      </w:pPr>
      <w:r>
        <w:rPr>
          <w:rFonts w:ascii="Times New Roman" w:eastAsia="宋体" w:hAnsi="Times New Roman"/>
          <w:b/>
          <w:bCs/>
          <w:sz w:val="24"/>
          <w:szCs w:val="24"/>
        </w:rPr>
        <w:t xml:space="preserve">（一）国产算力全栈标杆：</w:t>
      </w:r>
      <w:r>
        <w:rPr>
          <w:rFonts w:ascii="Times New Roman" w:eastAsia="宋体" w:hAnsi="Times New Roman"/>
          <w:sz w:val="24"/>
          <w:szCs w:val="24"/>
        </w:rPr>
        <w:t xml:space="preserve">打造“国产芯片（HL系列）+自主液冷+绿色数据中心”全栈融合的国产算力基础设施标杆，形成可复制、可推广的标准化解决方案。</w:t>
      </w:r>
    </w:p>
    <w:p>
      <w:pPr>
        <w:spacing w:after="60" w:line="360" w:lineRule="auto"/>
        <w:ind w:firstLine="480"/>
      </w:pPr>
      <w:r>
        <w:rPr>
          <w:rFonts w:ascii="Times New Roman" w:eastAsia="宋体" w:hAnsi="Times New Roman"/>
          <w:b/>
          <w:bCs/>
          <w:sz w:val="24"/>
          <w:szCs w:val="24"/>
        </w:rPr>
        <w:t xml:space="preserve">（二）超节点液冷技术引领：</w:t>
      </w:r>
      <w:r>
        <w:rPr>
          <w:rFonts w:ascii="Times New Roman" w:eastAsia="宋体" w:hAnsi="Times New Roman"/>
          <w:sz w:val="24"/>
          <w:szCs w:val="24"/>
        </w:rPr>
        <w:t xml:space="preserve">联合突破超节点乃至千卡集群液冷散热技术，实现PUE≤1.05的极致能效目标，形成行业领先的超节点液冷标准化方案。</w:t>
      </w:r>
    </w:p>
    <w:p>
      <w:pPr>
        <w:spacing w:after="60" w:line="360" w:lineRule="auto"/>
        <w:ind w:firstLine="480"/>
      </w:pPr>
      <w:r>
        <w:rPr>
          <w:rFonts w:ascii="Times New Roman" w:eastAsia="宋体" w:hAnsi="Times New Roman"/>
          <w:b/>
          <w:bCs/>
          <w:sz w:val="24"/>
          <w:szCs w:val="24"/>
        </w:rPr>
        <w:t xml:space="preserve">（三）太空算力热控突破：</w:t>
      </w:r>
      <w:r>
        <w:rPr>
          <w:rFonts w:ascii="Times New Roman" w:eastAsia="宋体" w:hAnsi="Times New Roman"/>
          <w:sz w:val="24"/>
          <w:szCs w:val="24"/>
        </w:rPr>
        <w:t xml:space="preserve">联合突破太空算力温控关键技术，形成航天级热控整体解决方案，抢占天基算力热控技术制高点。</w:t>
      </w:r>
    </w:p>
    <w:p>
      <w:pPr>
        <w:spacing w:after="60" w:line="360" w:lineRule="auto"/>
        <w:ind w:firstLine="480"/>
      </w:pPr>
      <w:r>
        <w:rPr>
          <w:rFonts w:ascii="Times New Roman" w:eastAsia="宋体" w:hAnsi="Times New Roman"/>
          <w:b/>
          <w:bCs/>
          <w:sz w:val="24"/>
          <w:szCs w:val="24"/>
        </w:rPr>
        <w:t xml:space="preserve">（四）可持续商业闭环：</w:t>
      </w:r>
      <w:r>
        <w:rPr>
          <w:rFonts w:ascii="Times New Roman" w:eastAsia="宋体" w:hAnsi="Times New Roman"/>
          <w:sz w:val="24"/>
          <w:szCs w:val="24"/>
        </w:rPr>
        <w:t xml:space="preserve">以楷德悠云数据中心为核心载体，打造国产算力生态示范智算中心，实现“部署—验证—运营—推广”的商业闭环，保障双方长效收益。</w:t>
      </w:r>
    </w:p>
    <w:p>
      <w:pPr>
        <w:spacing w:after="160" w:before="280"/>
      </w:pPr>
      <w:r>
        <w:rPr>
          <w:rFonts w:ascii="Times New Roman" w:eastAsia="黑体" w:hAnsi="Times New Roman"/>
          <w:b/>
          <w:bCs/>
          <w:sz w:val="30"/>
          <w:szCs w:val="30"/>
        </w:rPr>
        <w:t xml:space="preserve">第五条  合作内容</w:t>
      </w:r>
    </w:p>
    <w:p>
      <w:pPr>
        <w:spacing w:after="100" w:before="160"/>
      </w:pPr>
      <w:r>
        <w:rPr>
          <w:rFonts w:ascii="Times New Roman" w:eastAsia="黑体" w:hAnsi="Times New Roman"/>
          <w:b/>
          <w:bCs/>
          <w:sz w:val="26"/>
          <w:szCs w:val="26"/>
        </w:rPr>
        <w:t xml:space="preserve">（一）产品与解决方案融合</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双方共同开发基于甲方HL系列芯片（HL100、HL200、HL200Pro、HL400AI等）及整机产品的数据中心一体化解决方案，集成乙方精密空调设备、机房环境一体化产品、液冷散热系统（冷板式、浸没式）及节能技术服务。面向甲方HL100芯片FP16算力256 TFLOPS的高性能计算场景，乙方提供定制化散热保障方案。</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针对甲方全栈算力基础设施建设（通算、智算、超算、存算、量子计算、太空算力等），乙方提供定制化的环境控制与能源管理整体方案，包括但不限于精密空调、冷水机组、液冷CDU、液冷机柜、冷却液分配单元、太空环境热控模块及节能改造服务。</w:t>
      </w:r>
    </w:p>
    <w:p>
      <w:pPr>
        <w:spacing w:after="60" w:line="360" w:lineRule="auto"/>
        <w:ind w:firstLine="480"/>
      </w:pPr>
      <w:r>
        <w:rPr>
          <w:rFonts w:ascii="Times New Roman" w:eastAsia="宋体" w:hAnsi="Times New Roman"/>
          <w:b/>
          <w:bCs/>
          <w:sz w:val="24"/>
          <w:szCs w:val="24"/>
        </w:rPr>
        <w:t xml:space="preserve">3. </w:t>
      </w:r>
      <w:r>
        <w:rPr>
          <w:rFonts w:ascii="Times New Roman" w:eastAsia="宋体" w:hAnsi="Times New Roman"/>
          <w:sz w:val="24"/>
          <w:szCs w:val="24"/>
        </w:rPr>
        <w:t xml:space="preserve">双方协同推进“芯片-整机-液冷-数据中心”全栈融合方案，为最终客户提供一站式交付的国产算力基础设施。</w:t>
      </w:r>
    </w:p>
    <w:p>
      <w:pPr>
        <w:spacing w:after="100" w:before="160"/>
      </w:pPr>
      <w:r>
        <w:rPr>
          <w:rFonts w:ascii="Times New Roman" w:eastAsia="黑体" w:hAnsi="Times New Roman"/>
          <w:b/>
          <w:bCs/>
          <w:sz w:val="26"/>
          <w:szCs w:val="26"/>
        </w:rPr>
        <w:t xml:space="preserve">（二）楷德悠云数据中心深度合作</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甲方HL系列芯片及整机产品（AI服务器、桌面机、安全设备等）优先部署至南京楷德悠云数据中心，打造国产算力落地标杆项目，推动GPU、CPU、QPU等核心芯片实现自主可控与规模化落地。</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双方共同将楷德悠云数据中心打造为国产算力生态示范智算中心，集成甲方全栈算力基础设施能力与乙方精密环境控制技术，并率先应用联合研发的超节点液冷解决方案。</w:t>
      </w:r>
    </w:p>
    <w:p>
      <w:pPr>
        <w:spacing w:after="60" w:line="360" w:lineRule="auto"/>
        <w:ind w:firstLine="480"/>
      </w:pPr>
      <w:r>
        <w:rPr>
          <w:rFonts w:ascii="Times New Roman" w:eastAsia="宋体" w:hAnsi="Times New Roman"/>
          <w:b/>
          <w:bCs/>
          <w:sz w:val="24"/>
          <w:szCs w:val="24"/>
        </w:rPr>
        <w:t xml:space="preserve">3. </w:t>
      </w:r>
      <w:r>
        <w:rPr>
          <w:rFonts w:ascii="Times New Roman" w:eastAsia="宋体" w:hAnsi="Times New Roman"/>
          <w:sz w:val="24"/>
          <w:szCs w:val="24"/>
        </w:rPr>
        <w:t xml:space="preserve">针对楷德悠云数据中心二、三期项目（规划5600架机柜），双方提前开展技术对接与方案预研，确保国产算力设备与数据中心基础设施的深度融合，尤其面向千卡集群的液冷散热需求进行专项设计。</w:t>
      </w:r>
    </w:p>
    <w:p>
      <w:pPr>
        <w:spacing w:after="100" w:before="160"/>
      </w:pPr>
      <w:r>
        <w:rPr>
          <w:rFonts w:ascii="Times New Roman" w:eastAsia="黑体" w:hAnsi="Times New Roman"/>
          <w:b/>
          <w:bCs/>
          <w:sz w:val="26"/>
          <w:szCs w:val="26"/>
        </w:rPr>
        <w:t xml:space="preserve">（三）市场拓展与生态共建</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双方联合楷德悠云数据中心共同参与国家级/行业级数据中心、智算中心等重大项目的投标与建设。</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共同举办行业技术研讨会、生态伙伴大会，推广“国产算力芯片（HL系列）+超节点液冷+绿色数据中心+太空算力”整体解决方案。</w:t>
      </w:r>
    </w:p>
    <w:p>
      <w:pPr>
        <w:spacing w:after="60" w:line="360" w:lineRule="auto"/>
        <w:ind w:firstLine="480"/>
      </w:pPr>
      <w:r>
        <w:rPr>
          <w:rFonts w:ascii="Times New Roman" w:eastAsia="宋体" w:hAnsi="Times New Roman"/>
          <w:b/>
          <w:bCs/>
          <w:sz w:val="24"/>
          <w:szCs w:val="24"/>
        </w:rPr>
        <w:t xml:space="preserve">3. </w:t>
      </w:r>
      <w:r>
        <w:rPr>
          <w:rFonts w:ascii="Times New Roman" w:eastAsia="宋体" w:hAnsi="Times New Roman"/>
          <w:sz w:val="24"/>
          <w:szCs w:val="24"/>
        </w:rPr>
        <w:t xml:space="preserve">互相开放客户资源与渠道网络，实现市场协同。甲方客户覆盖全国20个省市区的40多个标段项目，乙方客户涵盖政府及通信、金融、互联网等多个行业，双方可联合拓展增量市场。</w:t>
      </w:r>
    </w:p>
    <w:p>
      <w:pPr>
        <w:spacing w:after="100" w:before="160"/>
      </w:pPr>
      <w:r>
        <w:rPr>
          <w:rFonts w:ascii="Times New Roman" w:eastAsia="黑体" w:hAnsi="Times New Roman"/>
          <w:b/>
          <w:bCs/>
          <w:sz w:val="26"/>
          <w:szCs w:val="26"/>
        </w:rPr>
        <w:t xml:space="preserve">（四）技术研发与标准共建</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围绕高能效数据中心方向，联合开展芯片散热、液冷技术、节能控制等关键技术研发，重点攻关超节点集群液冷散热、两相浸没式液冷等前沿方向。</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共同参与国产算力基础设施相关行业标准、团体标准的制定，推动液冷接口、能效评估等标准化。</w:t>
      </w:r>
    </w:p>
    <w:p>
      <w:pPr>
        <w:spacing w:after="60" w:line="360" w:lineRule="auto"/>
        <w:ind w:firstLine="480"/>
      </w:pPr>
      <w:r>
        <w:rPr>
          <w:rFonts w:ascii="Times New Roman" w:eastAsia="宋体" w:hAnsi="Times New Roman"/>
          <w:b/>
          <w:bCs/>
          <w:sz w:val="24"/>
          <w:szCs w:val="24"/>
        </w:rPr>
        <w:t xml:space="preserve">3. </w:t>
      </w:r>
      <w:r>
        <w:rPr>
          <w:rFonts w:ascii="Times New Roman" w:eastAsia="宋体" w:hAnsi="Times New Roman"/>
          <w:sz w:val="24"/>
          <w:szCs w:val="24"/>
        </w:rPr>
        <w:t xml:space="preserve">探索量子计算等前沿领域的数据中心环境控制技术预研。</w:t>
      </w:r>
    </w:p>
    <w:p>
      <w:pPr>
        <w:spacing w:after="100" w:before="160"/>
      </w:pPr>
      <w:r>
        <w:rPr>
          <w:rFonts w:ascii="Times New Roman" w:eastAsia="黑体" w:hAnsi="Times New Roman"/>
          <w:b/>
          <w:bCs/>
          <w:sz w:val="26"/>
          <w:szCs w:val="26"/>
        </w:rPr>
        <w:t xml:space="preserve">（五）供应链与产能协同</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甲方在铜陵智能制造基地等产能布局中，优先采购乙方精密环境控制设备及节能技术服务。</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乙方为甲方北京总部、上海芯片研发中心、无锡整机研发基地提供机房环境整体解决方案。</w:t>
      </w:r>
    </w:p>
    <w:p>
      <w:pPr>
        <w:spacing w:after="60" w:line="360" w:lineRule="auto"/>
        <w:ind w:firstLine="480"/>
      </w:pPr>
      <w:r>
        <w:rPr>
          <w:rFonts w:ascii="Times New Roman" w:eastAsia="宋体" w:hAnsi="Times New Roman"/>
          <w:b/>
          <w:bCs/>
          <w:sz w:val="24"/>
          <w:szCs w:val="24"/>
        </w:rPr>
        <w:t xml:space="preserve">3. </w:t>
      </w:r>
      <w:r>
        <w:rPr>
          <w:rFonts w:ascii="Times New Roman" w:eastAsia="宋体" w:hAnsi="Times New Roman"/>
          <w:sz w:val="24"/>
          <w:szCs w:val="24"/>
        </w:rPr>
        <w:t xml:space="preserve">乙方液冷产品（CDU、液冷机柜、冷板组件等）优先供应甲方超节点一体机生产线，建立稳定的配套供应关系。</w:t>
      </w:r>
    </w:p>
    <w:p>
      <w:pPr>
        <w:spacing w:after="100" w:before="160"/>
      </w:pPr>
      <w:r>
        <w:rPr>
          <w:rFonts w:ascii="Times New Roman" w:eastAsia="黑体" w:hAnsi="Times New Roman"/>
          <w:b/>
          <w:bCs/>
          <w:sz w:val="26"/>
          <w:szCs w:val="26"/>
        </w:rPr>
        <w:t xml:space="preserve">（六）超节点一体机液冷技术联合研发</w:t>
      </w:r>
    </w:p>
    <w:p>
      <w:pPr>
        <w:spacing w:after="60" w:line="360" w:lineRule="auto"/>
        <w:ind w:firstLine="480"/>
      </w:pPr>
      <w:r>
        <w:rPr>
          <w:rFonts w:ascii="Times New Roman" w:eastAsia="宋体" w:hAnsi="Times New Roman"/>
          <w:b/>
          <w:bCs/>
          <w:sz w:val="24"/>
          <w:szCs w:val="24"/>
        </w:rPr>
        <w:t xml:space="preserve">1. 研发目标：</w:t>
      </w:r>
      <w:r>
        <w:rPr>
          <w:rFonts w:ascii="Times New Roman" w:eastAsia="宋体" w:hAnsi="Times New Roman"/>
          <w:sz w:val="24"/>
          <w:szCs w:val="24"/>
        </w:rPr>
        <w:t xml:space="preserve">针对中诚华隆多形态超节点乃至千卡集群的高功耗需求（单机柜功率密度可达数百千瓦），联合研发定制化超节点液冷整体解决方案，实现PUE目标≤1.05，满足大规模AI训练场景的散热要求。</w:t>
      </w:r>
    </w:p>
    <w:p>
      <w:pPr>
        <w:spacing w:after="60" w:line="360" w:lineRule="auto"/>
        <w:ind w:firstLine="480"/>
      </w:pPr>
      <w:r>
        <w:rPr>
          <w:rFonts w:ascii="Times New Roman" w:eastAsia="宋体" w:hAnsi="Times New Roman"/>
          <w:b/>
          <w:bCs/>
          <w:sz w:val="24"/>
          <w:szCs w:val="24"/>
        </w:rPr>
        <w:t xml:space="preserve">2. 技术路线：</w:t>
      </w:r>
      <w:r>
        <w:rPr>
          <w:rFonts w:ascii="Times New Roman" w:eastAsia="宋体" w:hAnsi="Times New Roman"/>
          <w:sz w:val="24"/>
          <w:szCs w:val="24"/>
        </w:rPr>
        <w:t xml:space="preserve">覆盖冷板式液冷（针对CPU/GPU/内存等高发热部件）和浸没式液冷（面向极致能效场景），同步探索两相冷板、相变浸没等先进技术方向。</w:t>
      </w:r>
    </w:p>
    <w:p>
      <w:pPr>
        <w:spacing w:after="60" w:line="360" w:lineRule="auto"/>
        <w:ind w:firstLine="480"/>
      </w:pPr>
      <w:r>
        <w:rPr>
          <w:rFonts w:ascii="Times New Roman" w:eastAsia="宋体" w:hAnsi="Times New Roman"/>
          <w:b/>
          <w:bCs/>
          <w:sz w:val="24"/>
          <w:szCs w:val="24"/>
        </w:rPr>
        <w:t xml:space="preserve">3. 研发内容：</w:t>
      </w:r>
    </w:p>
    <w:p>
      <w:pPr>
        <w:pStyle w:val="ListParagraph"/>
        <w:numPr>
          <w:ilvl w:val="0"/>
          <w:numId w:val="2"/>
        </w:numPr>
        <w:spacing w:after="60" w:line="360" w:lineRule="auto"/>
      </w:pPr>
      <w:r>
        <w:rPr>
          <w:rFonts w:ascii="Times New Roman" w:eastAsia="宋体" w:hAnsi="Times New Roman"/>
          <w:sz w:val="24"/>
          <w:szCs w:val="24"/>
        </w:rPr>
        <w:t xml:space="preserve">面向中诚华隆超节点服务器硬件架构的液冷冷板及流道设计；</w:t>
      </w:r>
    </w:p>
    <w:p>
      <w:pPr>
        <w:pStyle w:val="ListParagraph"/>
        <w:numPr>
          <w:ilvl w:val="0"/>
          <w:numId w:val="2"/>
        </w:numPr>
        <w:spacing w:after="60" w:line="360" w:lineRule="auto"/>
      </w:pPr>
      <w:r>
        <w:rPr>
          <w:rFonts w:ascii="Times New Roman" w:eastAsia="宋体" w:hAnsi="Times New Roman"/>
          <w:sz w:val="24"/>
          <w:szCs w:val="24"/>
        </w:rPr>
        <w:t xml:space="preserve">高可靠性液冷CDU（冷量分配单元）与二次侧冷却液分配系统的联合定制开发；</w:t>
      </w:r>
    </w:p>
    <w:p>
      <w:pPr>
        <w:pStyle w:val="ListParagraph"/>
        <w:numPr>
          <w:ilvl w:val="0"/>
          <w:numId w:val="2"/>
        </w:numPr>
        <w:spacing w:after="60" w:line="360" w:lineRule="auto"/>
      </w:pPr>
      <w:r>
        <w:rPr>
          <w:rFonts w:ascii="Times New Roman" w:eastAsia="宋体" w:hAnsi="Times New Roman"/>
          <w:sz w:val="24"/>
          <w:szCs w:val="24"/>
        </w:rPr>
        <w:t xml:space="preserve">基于楷德悠云数据中心真实负载的液冷散热模拟测试与能效优化；</w:t>
      </w:r>
    </w:p>
    <w:p>
      <w:pPr>
        <w:pStyle w:val="ListParagraph"/>
        <w:numPr>
          <w:ilvl w:val="0"/>
          <w:numId w:val="2"/>
        </w:numPr>
        <w:spacing w:after="60" w:line="360" w:lineRule="auto"/>
      </w:pPr>
      <w:r>
        <w:rPr>
          <w:rFonts w:ascii="Times New Roman" w:eastAsia="宋体" w:hAnsi="Times New Roman"/>
          <w:sz w:val="24"/>
          <w:szCs w:val="24"/>
        </w:rPr>
        <w:t xml:space="preserve">液冷系统与数据中心智能管理平台的联动控制算法，实现动态能效调优；</w:t>
      </w:r>
    </w:p>
    <w:p>
      <w:pPr>
        <w:pStyle w:val="ListParagraph"/>
        <w:numPr>
          <w:ilvl w:val="0"/>
          <w:numId w:val="2"/>
        </w:numPr>
        <w:spacing w:after="60" w:line="360" w:lineRule="auto"/>
      </w:pPr>
      <w:r>
        <w:rPr>
          <w:rFonts w:ascii="Times New Roman" w:eastAsia="宋体" w:hAnsi="Times New Roman"/>
          <w:sz w:val="24"/>
          <w:szCs w:val="24"/>
        </w:rPr>
        <w:t xml:space="preserve">针对浸没式液冷的材料兼容性、密封性及运维方案联合攻关。</w:t>
      </w:r>
    </w:p>
    <w:p>
      <w:pPr>
        <w:spacing w:after="60" w:line="360" w:lineRule="auto"/>
        <w:ind w:firstLine="480"/>
      </w:pPr>
      <w:r>
        <w:rPr>
          <w:rFonts w:ascii="Times New Roman" w:eastAsia="宋体" w:hAnsi="Times New Roman"/>
          <w:b/>
          <w:bCs/>
          <w:sz w:val="24"/>
          <w:szCs w:val="24"/>
        </w:rPr>
        <w:t xml:space="preserve">4. 成果落地：</w:t>
      </w:r>
      <w:r>
        <w:rPr>
          <w:rFonts w:ascii="Times New Roman" w:eastAsia="宋体" w:hAnsi="Times New Roman"/>
          <w:sz w:val="24"/>
          <w:szCs w:val="24"/>
        </w:rPr>
        <w:t xml:space="preserve">联合研发成果优先在楷德悠云数据中心进行部署验证，并形成可复制的超节点液冷标准化方案，向全国智算中心推广。</w:t>
      </w:r>
    </w:p>
    <w:p>
      <w:pPr>
        <w:spacing w:after="60" w:line="360" w:lineRule="auto"/>
        <w:ind w:firstLine="480"/>
      </w:pPr>
      <w:r>
        <w:rPr>
          <w:rFonts w:ascii="Times New Roman" w:eastAsia="宋体" w:hAnsi="Times New Roman"/>
          <w:b/>
          <w:bCs/>
          <w:sz w:val="24"/>
          <w:szCs w:val="24"/>
        </w:rPr>
        <w:t xml:space="preserve">5. 组织保障：</w:t>
      </w:r>
      <w:r>
        <w:rPr>
          <w:rFonts w:ascii="Times New Roman" w:eastAsia="宋体" w:hAnsi="Times New Roman"/>
          <w:sz w:val="24"/>
          <w:szCs w:val="24"/>
        </w:rPr>
        <w:t xml:space="preserve">双方各自指定技术负责人，成立联合液冷研发工作组，定期召开技术研讨会，共享测试数据与研发进展。</w:t>
      </w:r>
    </w:p>
    <w:p>
      <w:pPr>
        <w:spacing w:after="100" w:before="160"/>
      </w:pPr>
      <w:r>
        <w:rPr>
          <w:rFonts w:ascii="Times New Roman" w:eastAsia="黑体" w:hAnsi="Times New Roman"/>
          <w:b/>
          <w:bCs/>
          <w:sz w:val="26"/>
          <w:szCs w:val="26"/>
        </w:rPr>
        <w:t xml:space="preserve">（七）太空算力与太空散热技术联合研发</w:t>
      </w:r>
    </w:p>
    <w:p>
      <w:pPr>
        <w:spacing w:after="60" w:line="360" w:lineRule="auto"/>
        <w:ind w:firstLine="480"/>
      </w:pPr>
      <w:r>
        <w:rPr>
          <w:rFonts w:ascii="Times New Roman" w:eastAsia="宋体" w:hAnsi="Times New Roman"/>
          <w:b/>
          <w:bCs/>
          <w:sz w:val="24"/>
          <w:szCs w:val="24"/>
        </w:rPr>
        <w:t xml:space="preserve">1. 研发背景：</w:t>
      </w:r>
      <w:r>
        <w:rPr>
          <w:rFonts w:ascii="Times New Roman" w:eastAsia="宋体" w:hAnsi="Times New Roman"/>
          <w:sz w:val="24"/>
          <w:szCs w:val="24"/>
        </w:rPr>
        <w:t xml:space="preserve">太空算力是将地面数据中心的人工智能算力节点部署至太空轨道，利用太空充足太阳能与天然低温环境，破解地面算力面临的能耗、散热和土地资源瓶颈。中诚华隆正围绕通算、智算、超算、存算、量子计算及太空算力等全栈算力基础设施建设发力。佳力图已与之江实验室三体计算星座项目团队就太空计算基础设施温控散热需求进行了深入交流。</w:t>
      </w:r>
    </w:p>
    <w:p>
      <w:pPr>
        <w:spacing w:after="60" w:line="360" w:lineRule="auto"/>
        <w:ind w:firstLine="480"/>
      </w:pPr>
      <w:r>
        <w:rPr>
          <w:rFonts w:ascii="Times New Roman" w:eastAsia="宋体" w:hAnsi="Times New Roman"/>
          <w:b/>
          <w:bCs/>
          <w:sz w:val="24"/>
          <w:szCs w:val="24"/>
        </w:rPr>
        <w:t xml:space="preserve">2. 研发目标：</w:t>
      </w:r>
      <w:r>
        <w:rPr>
          <w:rFonts w:ascii="Times New Roman" w:eastAsia="宋体" w:hAnsi="Times New Roman"/>
          <w:sz w:val="24"/>
          <w:szCs w:val="24"/>
        </w:rPr>
        <w:t xml:space="preserve">针对中诚华隆太空算力战略布局中星载计算系统的极端环境散热需求（太空为真空环境，无法通过对流散热），联合研发航天级热控整体解决方案，突破太空算力温控技术瓶颈。</w:t>
      </w:r>
    </w:p>
    <w:p>
      <w:pPr>
        <w:spacing w:after="60" w:line="360" w:lineRule="auto"/>
        <w:ind w:firstLine="480"/>
      </w:pPr>
      <w:r>
        <w:rPr>
          <w:rFonts w:ascii="Times New Roman" w:eastAsia="宋体" w:hAnsi="Times New Roman"/>
          <w:b/>
          <w:bCs/>
          <w:sz w:val="24"/>
          <w:szCs w:val="24"/>
        </w:rPr>
        <w:t xml:space="preserve">3. 技术挑战：</w:t>
      </w:r>
      <w:r>
        <w:rPr>
          <w:rFonts w:ascii="Times New Roman" w:eastAsia="宋体" w:hAnsi="Times New Roman"/>
          <w:sz w:val="24"/>
          <w:szCs w:val="24"/>
        </w:rPr>
        <w:t xml:space="preserve">太空算力硬件面临四大技术难题——星间通信、星载芯片（抗热辐照能力和光学器件位移损伤）、能源与热管理（超大散热板的柔性抗干扰设计、局部过热风险控制）、商业模式。双方将聚焦能源与热管理领域开展联合攻关。</w:t>
      </w:r>
    </w:p>
    <w:p>
      <w:pPr>
        <w:spacing w:after="60" w:line="360" w:lineRule="auto"/>
        <w:ind w:firstLine="480"/>
      </w:pPr>
      <w:r>
        <w:rPr>
          <w:rFonts w:ascii="Times New Roman" w:eastAsia="宋体" w:hAnsi="Times New Roman"/>
          <w:b/>
          <w:bCs/>
          <w:sz w:val="24"/>
          <w:szCs w:val="24"/>
        </w:rPr>
        <w:t xml:space="preserve">4. 研发内容：</w:t>
      </w:r>
    </w:p>
    <w:p>
      <w:pPr>
        <w:pStyle w:val="ListParagraph"/>
        <w:numPr>
          <w:ilvl w:val="0"/>
          <w:numId w:val="2"/>
        </w:numPr>
        <w:spacing w:after="60" w:line="360" w:lineRule="auto"/>
      </w:pPr>
      <w:r>
        <w:rPr>
          <w:rFonts w:ascii="Times New Roman" w:eastAsia="宋体" w:hAnsi="Times New Roman"/>
          <w:sz w:val="24"/>
          <w:szCs w:val="24"/>
        </w:rPr>
        <w:t xml:space="preserve">航天级液冷模块研发：将乙方地面液冷技术转化为适用于太空真空环境的航天级液冷散热模块；</w:t>
      </w:r>
    </w:p>
    <w:p>
      <w:pPr>
        <w:pStyle w:val="ListParagraph"/>
        <w:numPr>
          <w:ilvl w:val="0"/>
          <w:numId w:val="2"/>
        </w:numPr>
        <w:spacing w:after="60" w:line="360" w:lineRule="auto"/>
      </w:pPr>
      <w:r>
        <w:rPr>
          <w:rFonts w:ascii="Times New Roman" w:eastAsia="宋体" w:hAnsi="Times New Roman"/>
          <w:sz w:val="24"/>
          <w:szCs w:val="24"/>
        </w:rPr>
        <w:t xml:space="preserve">辐射散热方案：联合研发适用于太空环境的高效辐射散热板及柔性可展开辐射器技术；</w:t>
      </w:r>
    </w:p>
    <w:p>
      <w:pPr>
        <w:pStyle w:val="ListParagraph"/>
        <w:numPr>
          <w:ilvl w:val="0"/>
          <w:numId w:val="2"/>
        </w:numPr>
        <w:spacing w:after="60" w:line="360" w:lineRule="auto"/>
      </w:pPr>
      <w:r>
        <w:rPr>
          <w:rFonts w:ascii="Times New Roman" w:eastAsia="宋体" w:hAnsi="Times New Roman"/>
          <w:sz w:val="24"/>
          <w:szCs w:val="24"/>
        </w:rPr>
        <w:t xml:space="preserve">星载芯片热控：针对甲方星载HL系列芯片在太空环境下的抗热辐照与热管理需求，研发定制化热控方案；</w:t>
      </w:r>
    </w:p>
    <w:p>
      <w:pPr>
        <w:pStyle w:val="ListParagraph"/>
        <w:numPr>
          <w:ilvl w:val="0"/>
          <w:numId w:val="2"/>
        </w:numPr>
        <w:spacing w:after="60" w:line="360" w:lineRule="auto"/>
      </w:pPr>
      <w:r>
        <w:rPr>
          <w:rFonts w:ascii="Times New Roman" w:eastAsia="宋体" w:hAnsi="Times New Roman"/>
          <w:sz w:val="24"/>
          <w:szCs w:val="24"/>
        </w:rPr>
        <w:t xml:space="preserve">极端环境验证：联合开展散热方案的极端环境模拟测试与验证；</w:t>
      </w:r>
    </w:p>
    <w:p>
      <w:pPr>
        <w:pStyle w:val="ListParagraph"/>
        <w:numPr>
          <w:ilvl w:val="0"/>
          <w:numId w:val="2"/>
        </w:numPr>
        <w:spacing w:after="60" w:line="360" w:lineRule="auto"/>
      </w:pPr>
      <w:r>
        <w:rPr>
          <w:rFonts w:ascii="Times New Roman" w:eastAsia="宋体" w:hAnsi="Times New Roman"/>
          <w:sz w:val="24"/>
          <w:szCs w:val="24"/>
        </w:rPr>
        <w:t xml:space="preserve">空地协同热管理：探索地面数据中心与太空算力节点之间的协同热管理与能效优化方案。</w:t>
      </w:r>
    </w:p>
    <w:p>
      <w:pPr>
        <w:spacing w:after="60" w:line="360" w:lineRule="auto"/>
        <w:ind w:firstLine="480"/>
      </w:pPr>
      <w:r>
        <w:rPr>
          <w:rFonts w:ascii="Times New Roman" w:eastAsia="宋体" w:hAnsi="Times New Roman"/>
          <w:b/>
          <w:bCs/>
          <w:sz w:val="24"/>
          <w:szCs w:val="24"/>
        </w:rPr>
        <w:t xml:space="preserve">5. 成果落地：</w:t>
      </w:r>
    </w:p>
    <w:p>
      <w:pPr>
        <w:pStyle w:val="ListParagraph"/>
        <w:numPr>
          <w:ilvl w:val="0"/>
          <w:numId w:val="2"/>
        </w:numPr>
        <w:spacing w:after="60" w:line="360" w:lineRule="auto"/>
      </w:pPr>
      <w:r>
        <w:rPr>
          <w:rFonts w:ascii="Times New Roman" w:eastAsia="宋体" w:hAnsi="Times New Roman"/>
          <w:sz w:val="24"/>
          <w:szCs w:val="24"/>
        </w:rPr>
        <w:t xml:space="preserve">联合研发成果优先应用于中诚华隆太空算力相关项目；</w:t>
      </w:r>
    </w:p>
    <w:p>
      <w:pPr>
        <w:pStyle w:val="ListParagraph"/>
        <w:numPr>
          <w:ilvl w:val="0"/>
          <w:numId w:val="2"/>
        </w:numPr>
        <w:spacing w:after="60" w:line="360" w:lineRule="auto"/>
      </w:pPr>
      <w:r>
        <w:rPr>
          <w:rFonts w:ascii="Times New Roman" w:eastAsia="宋体" w:hAnsi="Times New Roman"/>
          <w:sz w:val="24"/>
          <w:szCs w:val="24"/>
        </w:rPr>
        <w:t xml:space="preserve">共同参与国家及行业太空算力温控标准的制定；</w:t>
      </w:r>
    </w:p>
    <w:p>
      <w:pPr>
        <w:pStyle w:val="ListParagraph"/>
        <w:numPr>
          <w:ilvl w:val="0"/>
          <w:numId w:val="2"/>
        </w:numPr>
        <w:spacing w:after="60" w:line="360" w:lineRule="auto"/>
      </w:pPr>
      <w:r>
        <w:rPr>
          <w:rFonts w:ascii="Times New Roman" w:eastAsia="宋体" w:hAnsi="Times New Roman"/>
          <w:sz w:val="24"/>
          <w:szCs w:val="24"/>
        </w:rPr>
        <w:t xml:space="preserve">形成可复制的太空算力热控标准化方案，向国内外天基算力市场推广。</w:t>
      </w:r>
    </w:p>
    <w:p>
      <w:pPr>
        <w:spacing w:after="60" w:line="360" w:lineRule="auto"/>
        <w:ind w:firstLine="480"/>
      </w:pPr>
      <w:r>
        <w:rPr>
          <w:rFonts w:ascii="Times New Roman" w:eastAsia="宋体" w:hAnsi="Times New Roman"/>
          <w:b/>
          <w:bCs/>
          <w:sz w:val="24"/>
          <w:szCs w:val="24"/>
        </w:rPr>
        <w:t xml:space="preserve">6. 组织保障：</w:t>
      </w:r>
      <w:r>
        <w:rPr>
          <w:rFonts w:ascii="Times New Roman" w:eastAsia="宋体" w:hAnsi="Times New Roman"/>
          <w:sz w:val="24"/>
          <w:szCs w:val="24"/>
        </w:rPr>
        <w:t xml:space="preserve">双方各自指定技术负责人，成立联合太空算力研发工作组，定期召开技术研讨会，共享测试数据与研发进展。</w:t>
      </w:r>
    </w:p>
    <w:p>
      <w:pPr>
        <w:spacing w:after="100" w:before="160"/>
      </w:pPr>
      <w:r>
        <w:rPr>
          <w:rFonts w:ascii="Times New Roman" w:eastAsia="黑体" w:hAnsi="Times New Roman"/>
          <w:b/>
          <w:bCs/>
          <w:sz w:val="26"/>
          <w:szCs w:val="26"/>
        </w:rPr>
        <w:t xml:space="preserve">（八）绿色算力基础设施协同</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双方积极响应国家“东数西算”与“算电协同”战略，探索在零碳算力园区、绿色智算中心等项目中的协同合作：甲方提供HL系列国产芯片及整机产品，乙方提供液冷散热、精密环境控制及数据中心载体资源，共同参与“风光储+算力+液冷”一体化项目的方案设计与落地实施。</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双方可联合对接具备绿色能源优势的算力园区项目，推广“国产芯片+全栈液冷+绿电直供”的整体解决方案，共同争取算力券、绿色电力、投资奖补等政策支持。</w:t>
      </w:r>
    </w:p>
    <w:p>
      <w:pPr>
        <w:spacing w:after="100" w:before="160"/>
      </w:pPr>
      <w:r>
        <w:rPr>
          <w:rFonts w:ascii="Times New Roman" w:eastAsia="黑体" w:hAnsi="Times New Roman"/>
          <w:b/>
          <w:bCs/>
          <w:sz w:val="26"/>
          <w:szCs w:val="26"/>
        </w:rPr>
        <w:t xml:space="preserve">（九）算力服务与Token化运营探索</w:t>
      </w:r>
    </w:p>
    <w:p>
      <w:pPr>
        <w:spacing w:after="60" w:line="360" w:lineRule="auto"/>
        <w:ind w:firstLine="480"/>
      </w:pPr>
      <w:r>
        <w:rPr>
          <w:rFonts w:ascii="Times New Roman" w:eastAsia="宋体" w:hAnsi="Times New Roman"/>
          <w:b/>
          <w:bCs/>
          <w:sz w:val="24"/>
          <w:szCs w:val="24"/>
        </w:rPr>
        <w:t xml:space="preserve">1. </w:t>
      </w:r>
      <w:r>
        <w:rPr>
          <w:rFonts w:ascii="Times New Roman" w:eastAsia="宋体" w:hAnsi="Times New Roman"/>
          <w:sz w:val="24"/>
          <w:szCs w:val="24"/>
        </w:rPr>
        <w:t xml:space="preserve">依托楷德悠云数据中心及甲方HL系列芯片算力集群，双方共同探索国产算力Token化交付与算力运营服务模式，将国产算力标准化为可按量计量、按需交付的算力服务。</w:t>
      </w:r>
    </w:p>
    <w:p>
      <w:pPr>
        <w:spacing w:after="60" w:line="360" w:lineRule="auto"/>
        <w:ind w:firstLine="480"/>
      </w:pPr>
      <w:r>
        <w:rPr>
          <w:rFonts w:ascii="Times New Roman" w:eastAsia="宋体" w:hAnsi="Times New Roman"/>
          <w:b/>
          <w:bCs/>
          <w:sz w:val="24"/>
          <w:szCs w:val="24"/>
        </w:rPr>
        <w:t xml:space="preserve">2. </w:t>
      </w:r>
      <w:r>
        <w:rPr>
          <w:rFonts w:ascii="Times New Roman" w:eastAsia="宋体" w:hAnsi="Times New Roman"/>
          <w:sz w:val="24"/>
          <w:szCs w:val="24"/>
        </w:rPr>
        <w:t xml:space="preserve">双方面向AI大模型训练、政务、金融、低空经济等算力需求场景联合输出算力服务，共同构建“算力生产—算力调度—场景消纳”的运营闭环，提升国产算力的规模化消纳能力。</w:t>
      </w:r>
    </w:p>
    <w:p>
      <w:pPr>
        <w:spacing w:after="160" w:before="280"/>
      </w:pPr>
      <w:r>
        <w:rPr>
          <w:rFonts w:ascii="Times New Roman" w:eastAsia="黑体" w:hAnsi="Times New Roman"/>
          <w:b/>
          <w:bCs/>
          <w:sz w:val="30"/>
          <w:szCs w:val="30"/>
        </w:rPr>
        <w:t xml:space="preserve">第六条  双方主要职责</w:t>
      </w:r>
    </w:p>
    <w:p>
      <w:pPr>
        <w:spacing w:after="100" w:before="160"/>
      </w:pPr>
      <w:r>
        <w:rPr>
          <w:rFonts w:ascii="Times New Roman" w:eastAsia="黑体" w:hAnsi="Times New Roman"/>
          <w:b/>
          <w:bCs/>
          <w:sz w:val="26"/>
          <w:szCs w:val="26"/>
        </w:rPr>
        <w:t xml:space="preserve">（一）甲方职责</w:t>
      </w:r>
    </w:p>
    <w:p>
      <w:pPr>
        <w:pStyle w:val="ListParagraph"/>
        <w:numPr>
          <w:ilvl w:val="0"/>
          <w:numId w:val="3"/>
        </w:numPr>
        <w:spacing w:after="60" w:line="360" w:lineRule="auto"/>
      </w:pPr>
      <w:r>
        <w:rPr>
          <w:rFonts w:ascii="Times New Roman" w:eastAsia="宋体" w:hAnsi="Times New Roman"/>
          <w:b/>
          <w:bCs/>
          <w:sz w:val="24"/>
          <w:szCs w:val="24"/>
        </w:rPr>
        <w:t xml:space="preserve">产品与技术供给：</w:t>
      </w:r>
      <w:r>
        <w:rPr>
          <w:rFonts w:ascii="Times New Roman" w:eastAsia="宋体" w:hAnsi="Times New Roman"/>
          <w:sz w:val="24"/>
          <w:szCs w:val="24"/>
        </w:rPr>
        <w:t xml:space="preserve">负责HL系列芯片、整机产品及超节点集群的研发、生产与供应，保障产品性能与交付质量，并按约定向乙方开放超节点硬件架构等技术接口，支撑液冷联合研发。</w:t>
      </w:r>
    </w:p>
    <w:p>
      <w:pPr>
        <w:pStyle w:val="ListParagraph"/>
        <w:numPr>
          <w:ilvl w:val="0"/>
          <w:numId w:val="3"/>
        </w:numPr>
        <w:spacing w:after="60" w:line="360" w:lineRule="auto"/>
      </w:pPr>
      <w:r>
        <w:rPr>
          <w:rFonts w:ascii="Times New Roman" w:eastAsia="宋体" w:hAnsi="Times New Roman"/>
          <w:b/>
          <w:bCs/>
          <w:sz w:val="24"/>
          <w:szCs w:val="24"/>
        </w:rPr>
        <w:t xml:space="preserve">太空算力需求牵引：</w:t>
      </w:r>
      <w:r>
        <w:rPr>
          <w:rFonts w:ascii="Times New Roman" w:eastAsia="宋体" w:hAnsi="Times New Roman"/>
          <w:sz w:val="24"/>
          <w:szCs w:val="24"/>
        </w:rPr>
        <w:t xml:space="preserve">负责星载HL系列芯片在太空环境下的抗热辐照与热管理需求输入，为太空热控联合研发提供芯片级技术支撑。</w:t>
      </w:r>
    </w:p>
    <w:p>
      <w:pPr>
        <w:pStyle w:val="ListParagraph"/>
        <w:numPr>
          <w:ilvl w:val="0"/>
          <w:numId w:val="3"/>
        </w:numPr>
        <w:spacing w:after="60" w:line="360" w:lineRule="auto"/>
      </w:pPr>
      <w:r>
        <w:rPr>
          <w:rFonts w:ascii="Times New Roman" w:eastAsia="宋体" w:hAnsi="Times New Roman"/>
          <w:b/>
          <w:bCs/>
          <w:sz w:val="24"/>
          <w:szCs w:val="24"/>
        </w:rPr>
        <w:t xml:space="preserve">市场与项目牵引：</w:t>
      </w:r>
      <w:r>
        <w:rPr>
          <w:rFonts w:ascii="Times New Roman" w:eastAsia="宋体" w:hAnsi="Times New Roman"/>
          <w:sz w:val="24"/>
          <w:szCs w:val="24"/>
        </w:rPr>
        <w:t xml:space="preserve">负责国产算力项目的市场拓展与客户对接，在全国中标项目中优先采用双方联合解决方案。</w:t>
      </w:r>
    </w:p>
    <w:p>
      <w:pPr>
        <w:pStyle w:val="ListParagraph"/>
        <w:numPr>
          <w:ilvl w:val="0"/>
          <w:numId w:val="3"/>
        </w:numPr>
        <w:spacing w:after="60" w:line="360" w:lineRule="auto"/>
      </w:pPr>
      <w:r>
        <w:rPr>
          <w:rFonts w:ascii="Times New Roman" w:eastAsia="宋体" w:hAnsi="Times New Roman"/>
          <w:b/>
          <w:bCs/>
          <w:sz w:val="24"/>
          <w:szCs w:val="24"/>
        </w:rPr>
        <w:t xml:space="preserve">供应链协同：</w:t>
      </w:r>
      <w:r>
        <w:rPr>
          <w:rFonts w:ascii="Times New Roman" w:eastAsia="宋体" w:hAnsi="Times New Roman"/>
          <w:sz w:val="24"/>
          <w:szCs w:val="24"/>
        </w:rPr>
        <w:t xml:space="preserve">在同等条件下优先采购乙方精密环境控制设备、液冷产品及节能技术服务。</w:t>
      </w:r>
    </w:p>
    <w:p>
      <w:pPr>
        <w:spacing w:after="100" w:before="160"/>
      </w:pPr>
      <w:r>
        <w:rPr>
          <w:rFonts w:ascii="Times New Roman" w:eastAsia="黑体" w:hAnsi="Times New Roman"/>
          <w:b/>
          <w:bCs/>
          <w:sz w:val="26"/>
          <w:szCs w:val="26"/>
        </w:rPr>
        <w:t xml:space="preserve">（二）乙方职责</w:t>
      </w:r>
    </w:p>
    <w:p>
      <w:pPr>
        <w:pStyle w:val="ListParagraph"/>
        <w:numPr>
          <w:ilvl w:val="0"/>
          <w:numId w:val="3"/>
        </w:numPr>
        <w:spacing w:after="60" w:line="360" w:lineRule="auto"/>
      </w:pPr>
      <w:r>
        <w:rPr>
          <w:rFonts w:ascii="Times New Roman" w:eastAsia="宋体" w:hAnsi="Times New Roman"/>
          <w:b/>
          <w:bCs/>
          <w:sz w:val="24"/>
          <w:szCs w:val="24"/>
        </w:rPr>
        <w:t xml:space="preserve">散热与环境控制：</w:t>
      </w:r>
      <w:r>
        <w:rPr>
          <w:rFonts w:ascii="Times New Roman" w:eastAsia="宋体" w:hAnsi="Times New Roman"/>
          <w:sz w:val="24"/>
          <w:szCs w:val="24"/>
        </w:rPr>
        <w:t xml:space="preserve">负责精密空调、液冷CDU、液冷机柜等环境控制与液冷散热产品的研发、生产与优先供应保障，并提供定制化散热方案设计。</w:t>
      </w:r>
    </w:p>
    <w:p>
      <w:pPr>
        <w:pStyle w:val="ListParagraph"/>
        <w:numPr>
          <w:ilvl w:val="0"/>
          <w:numId w:val="3"/>
        </w:numPr>
        <w:spacing w:after="60" w:line="360" w:lineRule="auto"/>
      </w:pPr>
      <w:r>
        <w:rPr>
          <w:rFonts w:ascii="Times New Roman" w:eastAsia="宋体" w:hAnsi="Times New Roman"/>
          <w:b/>
          <w:bCs/>
          <w:sz w:val="24"/>
          <w:szCs w:val="24"/>
        </w:rPr>
        <w:t xml:space="preserve">数据中心载体：</w:t>
      </w:r>
      <w:r>
        <w:rPr>
          <w:rFonts w:ascii="Times New Roman" w:eastAsia="宋体" w:hAnsi="Times New Roman"/>
          <w:sz w:val="24"/>
          <w:szCs w:val="24"/>
        </w:rPr>
        <w:t xml:space="preserve">负责楷德悠云数据中心的建设运营，为甲方HL系列产品部署验证提供机房资源、网络环境与运维支持。</w:t>
      </w:r>
    </w:p>
    <w:p>
      <w:pPr>
        <w:pStyle w:val="ListParagraph"/>
        <w:numPr>
          <w:ilvl w:val="0"/>
          <w:numId w:val="3"/>
        </w:numPr>
        <w:spacing w:after="60" w:line="360" w:lineRule="auto"/>
      </w:pPr>
      <w:r>
        <w:rPr>
          <w:rFonts w:ascii="Times New Roman" w:eastAsia="宋体" w:hAnsi="Times New Roman"/>
          <w:b/>
          <w:bCs/>
          <w:sz w:val="24"/>
          <w:szCs w:val="24"/>
        </w:rPr>
        <w:t xml:space="preserve">联合研发投入：</w:t>
      </w:r>
      <w:r>
        <w:rPr>
          <w:rFonts w:ascii="Times New Roman" w:eastAsia="宋体" w:hAnsi="Times New Roman"/>
          <w:sz w:val="24"/>
          <w:szCs w:val="24"/>
        </w:rPr>
        <w:t xml:space="preserve">负责超节点液冷系统与太空算力热控方案的联合研发投入，组织液冷专项组与太空算力专项组开展技术攻关。</w:t>
      </w:r>
    </w:p>
    <w:p>
      <w:pPr>
        <w:pStyle w:val="ListParagraph"/>
        <w:numPr>
          <w:ilvl w:val="0"/>
          <w:numId w:val="3"/>
        </w:numPr>
        <w:spacing w:after="60" w:line="360" w:lineRule="auto"/>
      </w:pPr>
      <w:r>
        <w:rPr>
          <w:rFonts w:ascii="Times New Roman" w:eastAsia="宋体" w:hAnsi="Times New Roman"/>
          <w:b/>
          <w:bCs/>
          <w:sz w:val="24"/>
          <w:szCs w:val="24"/>
        </w:rPr>
        <w:t xml:space="preserve">资本与运营支持：</w:t>
      </w:r>
      <w:r>
        <w:rPr>
          <w:rFonts w:ascii="Times New Roman" w:eastAsia="宋体" w:hAnsi="Times New Roman"/>
          <w:sz w:val="24"/>
          <w:szCs w:val="24"/>
        </w:rPr>
        <w:t xml:space="preserve">发挥上市公司资本平台优势，为双方合作项目提供资本运作与融资支持。</w:t>
      </w:r>
    </w:p>
    <w:p>
      <w:pPr>
        <w:spacing w:after="160" w:before="280"/>
      </w:pPr>
      <w:r>
        <w:rPr>
          <w:rFonts w:ascii="Times New Roman" w:eastAsia="黑体" w:hAnsi="Times New Roman"/>
          <w:b/>
          <w:bCs/>
          <w:sz w:val="30"/>
          <w:szCs w:val="30"/>
        </w:rPr>
        <w:t xml:space="preserve">第七条  合作机制</w:t>
      </w:r>
    </w:p>
    <w:p>
      <w:pPr>
        <w:spacing w:after="60" w:line="360" w:lineRule="auto"/>
        <w:ind w:firstLine="480"/>
      </w:pPr>
      <w:r>
        <w:rPr>
          <w:rFonts w:ascii="Times New Roman" w:eastAsia="宋体" w:hAnsi="Times New Roman"/>
          <w:b/>
          <w:bCs/>
          <w:sz w:val="24"/>
          <w:szCs w:val="24"/>
        </w:rPr>
        <w:t xml:space="preserve">（一）高层会晤机制：</w:t>
      </w:r>
      <w:r>
        <w:rPr>
          <w:rFonts w:ascii="Times New Roman" w:eastAsia="宋体" w:hAnsi="Times New Roman"/>
          <w:sz w:val="24"/>
          <w:szCs w:val="24"/>
        </w:rPr>
        <w:t xml:space="preserve">双方高层每半年举行一次战略沟通会，回顾合作进展并制定下一阶段计划。</w:t>
      </w:r>
    </w:p>
    <w:p>
      <w:pPr>
        <w:spacing w:after="60" w:line="360" w:lineRule="auto"/>
        <w:ind w:firstLine="480"/>
      </w:pPr>
      <w:r>
        <w:rPr>
          <w:rFonts w:ascii="Times New Roman" w:eastAsia="宋体" w:hAnsi="Times New Roman"/>
          <w:b/>
          <w:bCs/>
          <w:sz w:val="24"/>
          <w:szCs w:val="24"/>
        </w:rPr>
        <w:t xml:space="preserve">（二）工作层面对接：</w:t>
      </w:r>
      <w:r>
        <w:rPr>
          <w:rFonts w:ascii="Times New Roman" w:eastAsia="宋体" w:hAnsi="Times New Roman"/>
          <w:sz w:val="24"/>
          <w:szCs w:val="24"/>
        </w:rPr>
        <w:t xml:space="preserve">设立联合工作组（含液冷专项组、太空算力专项组），负责日常项目推进与协调；各专项组每季度至少召开一次技术研讨会。</w:t>
      </w:r>
    </w:p>
    <w:p>
      <w:pPr>
        <w:spacing w:after="60" w:line="360" w:lineRule="auto"/>
        <w:ind w:firstLine="480"/>
      </w:pPr>
      <w:r>
        <w:rPr>
          <w:rFonts w:ascii="Times New Roman" w:eastAsia="宋体" w:hAnsi="Times New Roman"/>
          <w:b/>
          <w:bCs/>
          <w:sz w:val="24"/>
          <w:szCs w:val="24"/>
        </w:rPr>
        <w:t xml:space="preserve">（三）信息共享机制：</w:t>
      </w:r>
      <w:r>
        <w:rPr>
          <w:rFonts w:ascii="Times New Roman" w:eastAsia="宋体" w:hAnsi="Times New Roman"/>
          <w:sz w:val="24"/>
          <w:szCs w:val="24"/>
        </w:rPr>
        <w:t xml:space="preserve">在保密前提下，定期共享行业动态、技术进展与项目信息；涉及具体合作项目的，双方共同建立项目信息共享机制，实现技术文档、测试数据、项目进度的及时同步。</w:t>
      </w:r>
    </w:p>
    <w:p>
      <w:pPr>
        <w:spacing w:after="60" w:line="360" w:lineRule="auto"/>
        <w:ind w:firstLine="480"/>
      </w:pPr>
      <w:r>
        <w:rPr>
          <w:rFonts w:ascii="Times New Roman" w:eastAsia="宋体" w:hAnsi="Times New Roman"/>
          <w:b/>
          <w:bCs/>
          <w:sz w:val="24"/>
          <w:szCs w:val="24"/>
        </w:rPr>
        <w:t xml:space="preserve">（四）风险防控：</w:t>
      </w:r>
      <w:r>
        <w:rPr>
          <w:rFonts w:ascii="Times New Roman" w:eastAsia="宋体" w:hAnsi="Times New Roman"/>
          <w:sz w:val="24"/>
          <w:szCs w:val="24"/>
        </w:rPr>
        <w:t xml:space="preserve">双方共同建立技术风险、市场风险、政策风险预警与处置机制，制定应急预案，最大限度保护双方利益。</w:t>
      </w:r>
    </w:p>
    <w:p>
      <w:pPr>
        <w:spacing w:after="160" w:before="280"/>
      </w:pPr>
      <w:r>
        <w:rPr>
          <w:rFonts w:ascii="Times New Roman" w:eastAsia="黑体" w:hAnsi="Times New Roman"/>
          <w:b/>
          <w:bCs/>
          <w:sz w:val="30"/>
          <w:szCs w:val="30"/>
        </w:rPr>
        <w:t xml:space="preserve">第八条  知识产权</w:t>
      </w:r>
    </w:p>
    <w:p>
      <w:pPr>
        <w:spacing w:after="60" w:line="360" w:lineRule="auto"/>
        <w:ind w:firstLine="480"/>
      </w:pPr>
      <w:r>
        <w:rPr>
          <w:rFonts w:ascii="Times New Roman" w:eastAsia="宋体" w:hAnsi="Times New Roman"/>
          <w:b/>
          <w:bCs/>
          <w:sz w:val="24"/>
          <w:szCs w:val="24"/>
        </w:rPr>
        <w:t xml:space="preserve">（一）</w:t>
      </w:r>
      <w:r>
        <w:rPr>
          <w:rFonts w:ascii="Times New Roman" w:eastAsia="宋体" w:hAnsi="Times New Roman"/>
          <w:sz w:val="24"/>
          <w:szCs w:val="24"/>
        </w:rPr>
        <w:t xml:space="preserve">双方保证其为合作所提供的技术、资料、产品等均拥有合法知识产权或使用权，不侵犯任何第三方合法权益。</w:t>
      </w:r>
    </w:p>
    <w:p>
      <w:pPr>
        <w:spacing w:after="60" w:line="360" w:lineRule="auto"/>
        <w:ind w:firstLine="480"/>
      </w:pPr>
      <w:r>
        <w:rPr>
          <w:rFonts w:ascii="Times New Roman" w:eastAsia="宋体" w:hAnsi="Times New Roman"/>
          <w:b/>
          <w:bCs/>
          <w:sz w:val="24"/>
          <w:szCs w:val="24"/>
        </w:rPr>
        <w:t xml:space="preserve">（二）</w:t>
      </w:r>
      <w:r>
        <w:rPr>
          <w:rFonts w:ascii="Times New Roman" w:eastAsia="宋体" w:hAnsi="Times New Roman"/>
          <w:sz w:val="24"/>
          <w:szCs w:val="24"/>
        </w:rPr>
        <w:t xml:space="preserve">双方在合作过程中提供的附着于各自技术、产品的知识产权仍归双方各自所有（背景知识产权）；一方在另一方背景知识产权基础上研发的新技术，其知识产权归属由双方另行约定。</w:t>
      </w:r>
    </w:p>
    <w:p>
      <w:pPr>
        <w:spacing w:after="60" w:line="360" w:lineRule="auto"/>
        <w:ind w:firstLine="480"/>
      </w:pPr>
      <w:r>
        <w:rPr>
          <w:rFonts w:ascii="Times New Roman" w:eastAsia="宋体" w:hAnsi="Times New Roman"/>
          <w:b/>
          <w:bCs/>
          <w:sz w:val="24"/>
          <w:szCs w:val="24"/>
        </w:rPr>
        <w:t xml:space="preserve">（三）</w:t>
      </w:r>
      <w:r>
        <w:rPr>
          <w:rFonts w:ascii="Times New Roman" w:eastAsia="宋体" w:hAnsi="Times New Roman"/>
          <w:sz w:val="24"/>
          <w:szCs w:val="24"/>
        </w:rPr>
        <w:t xml:space="preserve">双方联合研发产生的知识产权（前景知识产权），包括但不限于超节点液冷技术、太空算力热控技术等联合研发成果，其归属及利益分配由双方根据各自贡献另行签订协议约定；未作约定的，由双方共有。</w:t>
      </w:r>
    </w:p>
    <w:p>
      <w:pPr>
        <w:spacing w:after="60" w:line="360" w:lineRule="auto"/>
        <w:ind w:firstLine="480"/>
      </w:pPr>
      <w:r>
        <w:rPr>
          <w:rFonts w:ascii="Times New Roman" w:eastAsia="宋体" w:hAnsi="Times New Roman"/>
          <w:b/>
          <w:bCs/>
          <w:sz w:val="24"/>
          <w:szCs w:val="24"/>
        </w:rPr>
        <w:t xml:space="preserve">（四）</w:t>
      </w:r>
      <w:r>
        <w:rPr>
          <w:rFonts w:ascii="Times New Roman" w:eastAsia="宋体" w:hAnsi="Times New Roman"/>
          <w:sz w:val="24"/>
          <w:szCs w:val="24"/>
        </w:rPr>
        <w:t xml:space="preserve">未经对方书面同意，任何一方不得以任何目的使用对方的商标、商号、产品名称等信息进行市场推广。</w:t>
      </w:r>
    </w:p>
    <w:p>
      <w:pPr>
        <w:spacing w:after="160" w:before="280"/>
      </w:pPr>
      <w:r>
        <w:rPr>
          <w:rFonts w:ascii="Times New Roman" w:eastAsia="黑体" w:hAnsi="Times New Roman"/>
          <w:b/>
          <w:bCs/>
          <w:sz w:val="30"/>
          <w:szCs w:val="30"/>
        </w:rPr>
        <w:t xml:space="preserve">第九条  保密条款</w:t>
      </w:r>
    </w:p>
    <w:p>
      <w:pPr>
        <w:spacing w:after="60" w:line="360" w:lineRule="auto"/>
        <w:ind w:firstLine="480"/>
      </w:pPr>
      <w:r>
        <w:rPr>
          <w:rFonts w:ascii="Times New Roman" w:eastAsia="宋体" w:hAnsi="Times New Roman"/>
          <w:b/>
          <w:bCs/>
          <w:sz w:val="24"/>
          <w:szCs w:val="24"/>
        </w:rPr>
        <w:t xml:space="preserve">（一）</w:t>
      </w:r>
      <w:r>
        <w:rPr>
          <w:rFonts w:ascii="Times New Roman" w:eastAsia="宋体" w:hAnsi="Times New Roman"/>
          <w:sz w:val="24"/>
          <w:szCs w:val="24"/>
        </w:rPr>
        <w:t xml:space="preserve">双方应对合作过程中知悉的对方商业秘密、技术秘密等信息承担保密义务，未经对方书面同意，不得向第三方披露，亦不得用于本协议合作之外的目的。</w:t>
      </w:r>
    </w:p>
    <w:p>
      <w:pPr>
        <w:spacing w:after="60" w:line="360" w:lineRule="auto"/>
        <w:ind w:firstLine="480"/>
      </w:pPr>
      <w:r>
        <w:rPr>
          <w:rFonts w:ascii="Times New Roman" w:eastAsia="宋体" w:hAnsi="Times New Roman"/>
          <w:b/>
          <w:bCs/>
          <w:sz w:val="24"/>
          <w:szCs w:val="24"/>
        </w:rPr>
        <w:t xml:space="preserve">（二）</w:t>
      </w:r>
      <w:r>
        <w:rPr>
          <w:rFonts w:ascii="Times New Roman" w:eastAsia="宋体" w:hAnsi="Times New Roman"/>
          <w:sz w:val="24"/>
          <w:szCs w:val="24"/>
        </w:rPr>
        <w:t xml:space="preserve">保密义务不因本协议的终止而失效，持续有效至相关信息进入公有领域为止。</w:t>
      </w:r>
    </w:p>
    <w:p>
      <w:pPr>
        <w:spacing w:after="60" w:line="360" w:lineRule="auto"/>
        <w:ind w:firstLine="480"/>
      </w:pPr>
      <w:r>
        <w:rPr>
          <w:rFonts w:ascii="Times New Roman" w:eastAsia="宋体" w:hAnsi="Times New Roman"/>
          <w:b/>
          <w:bCs/>
          <w:sz w:val="24"/>
          <w:szCs w:val="24"/>
        </w:rPr>
        <w:t xml:space="preserve">（三）</w:t>
      </w:r>
      <w:r>
        <w:rPr>
          <w:rFonts w:ascii="Times New Roman" w:eastAsia="宋体" w:hAnsi="Times New Roman"/>
          <w:sz w:val="24"/>
          <w:szCs w:val="24"/>
        </w:rPr>
        <w:t xml:space="preserve">任何一方在公开渠道就本次合作进行宣传报道，须经对方事先书面同意。</w:t>
      </w:r>
    </w:p>
    <w:p>
      <w:pPr>
        <w:spacing w:after="160" w:before="280"/>
      </w:pPr>
      <w:r>
        <w:rPr>
          <w:rFonts w:ascii="Times New Roman" w:eastAsia="黑体" w:hAnsi="Times New Roman"/>
          <w:b/>
          <w:bCs/>
          <w:sz w:val="30"/>
          <w:szCs w:val="30"/>
        </w:rPr>
        <w:t xml:space="preserve">第十条  陈述与保证</w:t>
      </w:r>
    </w:p>
    <w:p>
      <w:pPr>
        <w:spacing w:after="60" w:line="360" w:lineRule="auto"/>
        <w:ind w:firstLine="480"/>
      </w:pPr>
      <w:r>
        <w:rPr>
          <w:rFonts w:ascii="Times New Roman" w:eastAsia="宋体" w:hAnsi="Times New Roman"/>
          <w:sz w:val="24"/>
          <w:szCs w:val="24"/>
        </w:rPr>
        <w:t xml:space="preserve">双方分别向对方陈述并保证：</w:t>
      </w:r>
    </w:p>
    <w:p>
      <w:pPr>
        <w:spacing w:after="60" w:line="360" w:lineRule="auto"/>
        <w:ind w:firstLine="480"/>
      </w:pPr>
      <w:r>
        <w:rPr>
          <w:rFonts w:ascii="Times New Roman" w:eastAsia="宋体" w:hAnsi="Times New Roman"/>
          <w:b/>
          <w:bCs/>
          <w:sz w:val="24"/>
          <w:szCs w:val="24"/>
        </w:rPr>
        <w:t xml:space="preserve">（一）</w:t>
      </w:r>
      <w:r>
        <w:rPr>
          <w:rFonts w:ascii="Times New Roman" w:eastAsia="宋体" w:hAnsi="Times New Roman"/>
          <w:sz w:val="24"/>
          <w:szCs w:val="24"/>
        </w:rPr>
        <w:t xml:space="preserve">其系依法设立并有效存续的企业法人，具备签署和履行本协议的主体资格。</w:t>
      </w:r>
    </w:p>
    <w:p>
      <w:pPr>
        <w:spacing w:after="60" w:line="360" w:lineRule="auto"/>
        <w:ind w:firstLine="480"/>
      </w:pPr>
      <w:r>
        <w:rPr>
          <w:rFonts w:ascii="Times New Roman" w:eastAsia="宋体" w:hAnsi="Times New Roman"/>
          <w:b/>
          <w:bCs/>
          <w:sz w:val="24"/>
          <w:szCs w:val="24"/>
        </w:rPr>
        <w:t xml:space="preserve">（二）</w:t>
      </w:r>
      <w:r>
        <w:rPr>
          <w:rFonts w:ascii="Times New Roman" w:eastAsia="宋体" w:hAnsi="Times New Roman"/>
          <w:sz w:val="24"/>
          <w:szCs w:val="24"/>
        </w:rPr>
        <w:t xml:space="preserve">其签署和履行本协议已获得必要的内部授权与批准，本协议一经生效即对其具有法律约束力。</w:t>
      </w:r>
    </w:p>
    <w:p>
      <w:pPr>
        <w:spacing w:after="60" w:line="360" w:lineRule="auto"/>
        <w:ind w:firstLine="480"/>
      </w:pPr>
      <w:r>
        <w:rPr>
          <w:rFonts w:ascii="Times New Roman" w:eastAsia="宋体" w:hAnsi="Times New Roman"/>
          <w:b/>
          <w:bCs/>
          <w:sz w:val="24"/>
          <w:szCs w:val="24"/>
        </w:rPr>
        <w:t xml:space="preserve">（三）</w:t>
      </w:r>
      <w:r>
        <w:rPr>
          <w:rFonts w:ascii="Times New Roman" w:eastAsia="宋体" w:hAnsi="Times New Roman"/>
          <w:sz w:val="24"/>
          <w:szCs w:val="24"/>
        </w:rPr>
        <w:t xml:space="preserve">本协议的签署和履行不违反其公司章程，亦不与其已签署的其他协议或对其有约束力的法律文件相冲突。</w:t>
      </w:r>
    </w:p>
    <w:p>
      <w:pPr>
        <w:spacing w:after="60" w:line="360" w:lineRule="auto"/>
        <w:ind w:firstLine="480"/>
      </w:pPr>
      <w:r>
        <w:rPr>
          <w:rFonts w:ascii="Times New Roman" w:eastAsia="宋体" w:hAnsi="Times New Roman"/>
          <w:b/>
          <w:bCs/>
          <w:sz w:val="24"/>
          <w:szCs w:val="24"/>
        </w:rPr>
        <w:t xml:space="preserve">（四）</w:t>
      </w:r>
      <w:r>
        <w:rPr>
          <w:rFonts w:ascii="Times New Roman" w:eastAsia="宋体" w:hAnsi="Times New Roman"/>
          <w:sz w:val="24"/>
          <w:szCs w:val="24"/>
        </w:rPr>
        <w:t xml:space="preserve">其为推进合作所提供的资料、信息真实、准确、完整，不存在重大遗漏或误导性陈述。</w:t>
      </w:r>
    </w:p>
    <w:p>
      <w:pPr>
        <w:spacing w:after="160" w:before="280"/>
      </w:pPr>
      <w:r>
        <w:rPr>
          <w:rFonts w:ascii="Times New Roman" w:eastAsia="黑体" w:hAnsi="Times New Roman"/>
          <w:b/>
          <w:bCs/>
          <w:sz w:val="30"/>
          <w:szCs w:val="30"/>
        </w:rPr>
        <w:t xml:space="preserve">第十一条  违约责任</w:t>
      </w:r>
    </w:p>
    <w:p>
      <w:pPr>
        <w:spacing w:after="60" w:line="360" w:lineRule="auto"/>
        <w:ind w:firstLine="480"/>
      </w:pPr>
      <w:r>
        <w:rPr>
          <w:rFonts w:ascii="Times New Roman" w:eastAsia="宋体" w:hAnsi="Times New Roman"/>
          <w:b/>
          <w:bCs/>
          <w:sz w:val="24"/>
          <w:szCs w:val="24"/>
        </w:rPr>
        <w:t xml:space="preserve">（一）</w:t>
      </w:r>
      <w:r>
        <w:rPr>
          <w:rFonts w:ascii="Times New Roman" w:eastAsia="宋体" w:hAnsi="Times New Roman"/>
          <w:sz w:val="24"/>
          <w:szCs w:val="24"/>
        </w:rPr>
        <w:t xml:space="preserve">任何一方违反本协议约定的保密义务，应赔偿由此给对方造成的全部直接损失。</w:t>
      </w:r>
    </w:p>
    <w:p>
      <w:pPr>
        <w:spacing w:after="60" w:line="360" w:lineRule="auto"/>
        <w:ind w:firstLine="480"/>
      </w:pPr>
      <w:r>
        <w:rPr>
          <w:rFonts w:ascii="Times New Roman" w:eastAsia="宋体" w:hAnsi="Times New Roman"/>
          <w:b/>
          <w:bCs/>
          <w:sz w:val="24"/>
          <w:szCs w:val="24"/>
        </w:rPr>
        <w:t xml:space="preserve">（二）</w:t>
      </w:r>
      <w:r>
        <w:rPr>
          <w:rFonts w:ascii="Times New Roman" w:eastAsia="宋体" w:hAnsi="Times New Roman"/>
          <w:sz w:val="24"/>
          <w:szCs w:val="24"/>
        </w:rPr>
        <w:t xml:space="preserve">任何一方违反本协议其他约定，经对方书面催告后在合理期限内仍未改正的，应承担继续履行、采取补救措施或赔偿损失等违约责任。</w:t>
      </w:r>
    </w:p>
    <w:p>
      <w:pPr>
        <w:spacing w:after="60" w:line="360" w:lineRule="auto"/>
        <w:ind w:firstLine="480"/>
      </w:pPr>
      <w:r>
        <w:rPr>
          <w:rFonts w:ascii="Times New Roman" w:eastAsia="宋体" w:hAnsi="Times New Roman"/>
          <w:b/>
          <w:bCs/>
          <w:sz w:val="24"/>
          <w:szCs w:val="24"/>
        </w:rPr>
        <w:t xml:space="preserve">（三）</w:t>
      </w:r>
      <w:r>
        <w:rPr>
          <w:rFonts w:ascii="Times New Roman" w:eastAsia="宋体" w:hAnsi="Times New Roman"/>
          <w:sz w:val="24"/>
          <w:szCs w:val="24"/>
        </w:rPr>
        <w:t xml:space="preserve">本协议为框架性协议，双方基于本协议开展的具体合作项目的违约责任，以双方另行签订的专项合同为准。</w:t>
      </w:r>
    </w:p>
    <w:p>
      <w:pPr>
        <w:spacing w:after="160" w:before="280"/>
      </w:pPr>
      <w:r>
        <w:rPr>
          <w:rFonts w:ascii="Times New Roman" w:eastAsia="黑体" w:hAnsi="Times New Roman"/>
          <w:b/>
          <w:bCs/>
          <w:sz w:val="30"/>
          <w:szCs w:val="30"/>
        </w:rPr>
        <w:t xml:space="preserve">第十二条  期限与终止</w:t>
      </w:r>
    </w:p>
    <w:p>
      <w:pPr>
        <w:spacing w:after="60" w:line="360" w:lineRule="auto"/>
        <w:ind w:firstLine="480"/>
      </w:pPr>
      <w:r>
        <w:rPr>
          <w:rFonts w:ascii="Times New Roman" w:eastAsia="宋体" w:hAnsi="Times New Roman"/>
          <w:b/>
          <w:bCs/>
          <w:sz w:val="24"/>
          <w:szCs w:val="24"/>
        </w:rPr>
        <w:t xml:space="preserve">（一）</w:t>
      </w:r>
      <w:r>
        <w:rPr>
          <w:rFonts w:ascii="Times New Roman" w:eastAsia="宋体" w:hAnsi="Times New Roman"/>
          <w:sz w:val="24"/>
          <w:szCs w:val="24"/>
        </w:rPr>
        <w:t xml:space="preserve">本协议有效期为三（3）年，自双方法定代表人或授权代表签字并加盖公章之日起生效。</w:t>
      </w:r>
    </w:p>
    <w:p>
      <w:pPr>
        <w:spacing w:after="60" w:line="360" w:lineRule="auto"/>
        <w:ind w:firstLine="480"/>
      </w:pPr>
      <w:r>
        <w:rPr>
          <w:rFonts w:ascii="Times New Roman" w:eastAsia="宋体" w:hAnsi="Times New Roman"/>
          <w:b/>
          <w:bCs/>
          <w:sz w:val="24"/>
          <w:szCs w:val="24"/>
        </w:rPr>
        <w:t xml:space="preserve">（二）</w:t>
      </w:r>
      <w:r>
        <w:rPr>
          <w:rFonts w:ascii="Times New Roman" w:eastAsia="宋体" w:hAnsi="Times New Roman"/>
          <w:sz w:val="24"/>
          <w:szCs w:val="24"/>
        </w:rPr>
        <w:t xml:space="preserve">期满前三个月，双方可协商续签。</w:t>
      </w:r>
    </w:p>
    <w:p>
      <w:pPr>
        <w:spacing w:after="60" w:line="360" w:lineRule="auto"/>
        <w:ind w:firstLine="480"/>
      </w:pPr>
      <w:r>
        <w:rPr>
          <w:rFonts w:ascii="Times New Roman" w:eastAsia="宋体" w:hAnsi="Times New Roman"/>
          <w:b/>
          <w:bCs/>
          <w:sz w:val="24"/>
          <w:szCs w:val="24"/>
        </w:rPr>
        <w:t xml:space="preserve">（三）</w:t>
      </w:r>
      <w:r>
        <w:rPr>
          <w:rFonts w:ascii="Times New Roman" w:eastAsia="宋体" w:hAnsi="Times New Roman"/>
          <w:sz w:val="24"/>
          <w:szCs w:val="24"/>
        </w:rPr>
        <w:t xml:space="preserve">任何一方严重违约，另一方有权书面通知终止本协议。协议终止不影响终止前已开展的具体合作项目的继续履行，具体项目权利义务以专项合同约定为准。</w:t>
      </w:r>
    </w:p>
    <w:p>
      <w:pPr>
        <w:spacing w:after="160" w:before="280"/>
      </w:pPr>
      <w:r>
        <w:rPr>
          <w:rFonts w:ascii="Times New Roman" w:eastAsia="黑体" w:hAnsi="Times New Roman"/>
          <w:b/>
          <w:bCs/>
          <w:sz w:val="30"/>
          <w:szCs w:val="30"/>
        </w:rPr>
        <w:t xml:space="preserve">第十三条  其他条款</w:t>
      </w:r>
    </w:p>
    <w:p>
      <w:pPr>
        <w:spacing w:after="60" w:line="360" w:lineRule="auto"/>
        <w:ind w:firstLine="480"/>
      </w:pPr>
      <w:r>
        <w:rPr>
          <w:rFonts w:ascii="Times New Roman" w:eastAsia="宋体" w:hAnsi="Times New Roman"/>
          <w:b/>
          <w:bCs/>
          <w:sz w:val="24"/>
          <w:szCs w:val="24"/>
        </w:rPr>
        <w:t xml:space="preserve">（一）协议性质：</w:t>
      </w:r>
      <w:r>
        <w:rPr>
          <w:rFonts w:ascii="Times New Roman" w:eastAsia="宋体" w:hAnsi="Times New Roman"/>
          <w:sz w:val="24"/>
          <w:szCs w:val="24"/>
        </w:rPr>
        <w:t xml:space="preserve">本协议为战略框架协议，具体合作项目另行签署专项合同；本协议与专项合同不一致的，以专项合同为准。</w:t>
      </w:r>
    </w:p>
    <w:p>
      <w:pPr>
        <w:spacing w:after="60" w:line="360" w:lineRule="auto"/>
        <w:ind w:firstLine="480"/>
      </w:pPr>
      <w:r>
        <w:rPr>
          <w:rFonts w:ascii="Times New Roman" w:eastAsia="宋体" w:hAnsi="Times New Roman"/>
          <w:b/>
          <w:bCs/>
          <w:sz w:val="24"/>
          <w:szCs w:val="24"/>
        </w:rPr>
        <w:t xml:space="preserve">（二）优先合作安排：</w:t>
      </w:r>
      <w:r>
        <w:rPr>
          <w:rFonts w:ascii="Times New Roman" w:eastAsia="宋体" w:hAnsi="Times New Roman"/>
          <w:sz w:val="24"/>
          <w:szCs w:val="24"/>
        </w:rPr>
        <w:t xml:space="preserve">在本协议有效期内，双方在国产算力芯片配套液冷散热及太空算力温控领域互为优先合作伙伴；任何一方拟与第三方开展与本协议实质性相同或相近的合作时，应事先书面告知对方，并在同等条件下优先与对方合作。</w:t>
      </w:r>
    </w:p>
    <w:p>
      <w:pPr>
        <w:spacing w:after="60" w:line="360" w:lineRule="auto"/>
        <w:ind w:firstLine="480"/>
      </w:pPr>
      <w:r>
        <w:rPr>
          <w:rFonts w:ascii="Times New Roman" w:eastAsia="宋体" w:hAnsi="Times New Roman"/>
          <w:b/>
          <w:bCs/>
          <w:sz w:val="24"/>
          <w:szCs w:val="24"/>
        </w:rPr>
        <w:t xml:space="preserve">（三）适用法律及争议解决：</w:t>
      </w:r>
      <w:r>
        <w:rPr>
          <w:rFonts w:ascii="Times New Roman" w:eastAsia="宋体" w:hAnsi="Times New Roman"/>
          <w:sz w:val="24"/>
          <w:szCs w:val="24"/>
        </w:rPr>
        <w:t xml:space="preserve">本协议受中华人民共和国法律管辖。凡因执行本协议所发生的或与本协议有关的一切争议，双方应首先通过友好协商解决；协商不成的，任何一方有权将争议提交本协议签订地有管辖权的人民法院诉讼解决。</w:t>
      </w:r>
    </w:p>
    <w:p>
      <w:pPr>
        <w:spacing w:after="60" w:line="360" w:lineRule="auto"/>
        <w:ind w:firstLine="480"/>
      </w:pPr>
      <w:r>
        <w:rPr>
          <w:rFonts w:ascii="Times New Roman" w:eastAsia="宋体" w:hAnsi="Times New Roman"/>
          <w:b/>
          <w:bCs/>
          <w:sz w:val="24"/>
          <w:szCs w:val="24"/>
        </w:rPr>
        <w:t xml:space="preserve">（四）通知与送达：</w:t>
      </w:r>
      <w:r>
        <w:rPr>
          <w:rFonts w:ascii="Times New Roman" w:eastAsia="宋体" w:hAnsi="Times New Roman"/>
          <w:sz w:val="24"/>
          <w:szCs w:val="24"/>
        </w:rPr>
        <w:t xml:space="preserve">与本协议有关的任何通知，应以书面形式（包括电子邮件）发送至双方在本协议签署页载明的地址或另行指定的地址。通知一经发出即视为送达。</w:t>
      </w:r>
    </w:p>
    <w:p>
      <w:pPr>
        <w:spacing w:after="60" w:line="360" w:lineRule="auto"/>
        <w:ind w:firstLine="480"/>
      </w:pPr>
      <w:r>
        <w:rPr>
          <w:rFonts w:ascii="Times New Roman" w:eastAsia="宋体" w:hAnsi="Times New Roman"/>
          <w:b/>
          <w:bCs/>
          <w:sz w:val="24"/>
          <w:szCs w:val="24"/>
        </w:rPr>
        <w:t xml:space="preserve">（五）不可抗力：</w:t>
      </w:r>
      <w:r>
        <w:rPr>
          <w:rFonts w:ascii="Times New Roman" w:eastAsia="宋体" w:hAnsi="Times New Roman"/>
          <w:sz w:val="24"/>
          <w:szCs w:val="24"/>
        </w:rPr>
        <w:t xml:space="preserve">因不可抗力导致一方不能履行或不能完全履行本协议义务的，应在不可抗力发生后十五日内书面通知对方，并提供有效证明。受影响方根据不可抗力的影响程度，部分或全部免除违约责任。</w:t>
      </w:r>
    </w:p>
    <w:p>
      <w:pPr>
        <w:spacing w:after="60" w:line="360" w:lineRule="auto"/>
        <w:ind w:firstLine="480"/>
      </w:pPr>
      <w:r>
        <w:rPr>
          <w:rFonts w:ascii="Times New Roman" w:eastAsia="宋体" w:hAnsi="Times New Roman"/>
          <w:b/>
          <w:bCs/>
          <w:sz w:val="24"/>
          <w:szCs w:val="24"/>
        </w:rPr>
        <w:t xml:space="preserve">（六）文本：</w:t>
      </w:r>
      <w:r>
        <w:rPr>
          <w:rFonts w:ascii="Times New Roman" w:eastAsia="宋体" w:hAnsi="Times New Roman"/>
          <w:sz w:val="24"/>
          <w:szCs w:val="24"/>
        </w:rPr>
        <w:t xml:space="preserve">本协议一式肆（4）份，甲乙双方各执贰（2）份，具有同等法律效力。</w:t>
      </w:r>
    </w:p>
    <w:p>
      <w:pPr>
        <w:spacing w:after="60" w:line="360" w:lineRule="auto"/>
        <w:ind w:firstLine="480"/>
      </w:pPr>
      <w:r>
        <w:rPr>
          <w:rFonts w:ascii="Times New Roman" w:eastAsia="宋体" w:hAnsi="Times New Roman"/>
          <w:b/>
          <w:bCs/>
          <w:sz w:val="24"/>
          <w:szCs w:val="24"/>
        </w:rPr>
        <w:t xml:space="preserve">（七）</w:t>
      </w:r>
      <w:r>
        <w:rPr>
          <w:rFonts w:ascii="Times New Roman" w:eastAsia="宋体" w:hAnsi="Times New Roman"/>
          <w:sz w:val="24"/>
          <w:szCs w:val="24"/>
        </w:rPr>
        <w:t xml:space="preserve">本协议未尽事宜，由双方另行协商解决。</w:t>
      </w:r>
    </w:p>
    <w:p/>
    <w:p>
      <w:pPr>
        <w:spacing w:after="100" w:before="200"/>
        <w:jc w:val="center"/>
      </w:pPr>
      <w:r>
        <w:rPr>
          <w:rFonts w:ascii="Times New Roman" w:eastAsia="宋体" w:hAnsi="Times New Roman"/>
          <w:sz w:val="24"/>
          <w:szCs w:val="24"/>
        </w:rPr>
        <w:t xml:space="preserve">（本页以下无正文）</w:t>
      </w:r>
    </w:p>
    <w:p>
      <w:r>
        <w:br w:type="page"/>
      </w:r>
    </w:p>
    <w:p>
      <w:pPr>
        <w:spacing w:after="480" w:before="240"/>
        <w:jc w:val="center"/>
      </w:pPr>
      <w:r>
        <w:rPr>
          <w:rFonts w:ascii="Times New Roman" w:eastAsia="宋体" w:hAnsi="Times New Roman"/>
          <w:sz w:val="24"/>
          <w:szCs w:val="24"/>
        </w:rPr>
        <w:t xml:space="preserve">（本页无正文，为《战略合作协议》签署页）</w:t>
      </w:r>
    </w:p>
    <w:p>
      <w:pPr>
        <w:spacing w:after="80" w:line="360" w:lineRule="auto"/>
      </w:pPr>
      <w:r>
        <w:rPr>
          <w:rFonts w:ascii="Times New Roman" w:eastAsia="宋体" w:hAnsi="Times New Roman"/>
          <w:b/>
          <w:bCs/>
          <w:sz w:val="24"/>
          <w:szCs w:val="24"/>
        </w:rPr>
        <w:t xml:space="preserve">甲方：中诚华隆计算机技术有限公司</w:t>
      </w:r>
      <w:r>
        <w:rPr>
          <w:rFonts w:ascii="Times New Roman" w:eastAsia="宋体" w:hAnsi="Times New Roman"/>
          <w:sz w:val="24"/>
          <w:szCs w:val="24"/>
        </w:rPr>
        <w:t xml:space="preserve">（盖章）</w:t>
      </w:r>
    </w:p>
    <w:p>
      <w:pPr>
        <w:spacing w:after="60" w:line="360" w:lineRule="auto"/>
      </w:pPr>
      <w:r>
        <w:rPr>
          <w:rFonts w:ascii="Times New Roman" w:eastAsia="宋体" w:hAnsi="Times New Roman"/>
          <w:sz w:val="24"/>
          <w:szCs w:val="24"/>
        </w:rPr>
        <w:t xml:space="preserve">法定代表人或授权代表（签字）：______________</w:t>
      </w:r>
    </w:p>
    <w:p>
      <w:pPr>
        <w:spacing w:after="60" w:line="360" w:lineRule="auto"/>
      </w:pPr>
      <w:r>
        <w:rPr>
          <w:rFonts w:ascii="Times New Roman" w:eastAsia="宋体" w:hAnsi="Times New Roman"/>
          <w:sz w:val="24"/>
          <w:szCs w:val="24"/>
        </w:rPr>
        <w:t xml:space="preserve">签署日期：________年____月____日</w:t>
      </w:r>
    </w:p>
    <w:p/>
    <w:p/>
    <w:p>
      <w:pPr>
        <w:spacing w:after="80" w:line="360" w:lineRule="auto"/>
      </w:pPr>
      <w:r>
        <w:rPr>
          <w:rFonts w:ascii="Times New Roman" w:eastAsia="宋体" w:hAnsi="Times New Roman"/>
          <w:b/>
          <w:bCs/>
          <w:sz w:val="24"/>
          <w:szCs w:val="24"/>
        </w:rPr>
        <w:t xml:space="preserve">乙方：南京佳力图机房环境技术股份有限公司</w:t>
      </w:r>
      <w:r>
        <w:rPr>
          <w:rFonts w:ascii="Times New Roman" w:eastAsia="宋体" w:hAnsi="Times New Roman"/>
          <w:sz w:val="24"/>
          <w:szCs w:val="24"/>
        </w:rPr>
        <w:t xml:space="preserve">（盖章）</w:t>
      </w:r>
    </w:p>
    <w:p>
      <w:pPr>
        <w:spacing w:after="60" w:line="360" w:lineRule="auto"/>
      </w:pPr>
      <w:r>
        <w:rPr>
          <w:rFonts w:ascii="Times New Roman" w:eastAsia="宋体" w:hAnsi="Times New Roman"/>
          <w:sz w:val="24"/>
          <w:szCs w:val="24"/>
        </w:rPr>
        <w:t xml:space="preserve">法定代表人或授权代表（签字）：______________</w:t>
      </w:r>
    </w:p>
    <w:p>
      <w:pPr>
        <w:spacing w:after="60" w:line="360" w:lineRule="auto"/>
      </w:pPr>
      <w:r>
        <w:rPr>
          <w:rFonts w:ascii="Times New Roman" w:eastAsia="宋体" w:hAnsi="Times New Roman"/>
          <w:sz w:val="24"/>
          <w:szCs w:val="24"/>
        </w:rPr>
        <w:t xml:space="preserve">签署日期：________年____月____日</w:t>
      </w:r>
    </w:p>
    <w:p>
      <w:r>
        <w:br w:type="page"/>
      </w:r>
    </w:p>
    <w:p>
      <w:pPr>
        <w:spacing w:after="160" w:before="280"/>
      </w:pPr>
      <w:r>
        <w:rPr>
          <w:rFonts w:ascii="Times New Roman" w:eastAsia="黑体" w:hAnsi="Times New Roman"/>
          <w:b/>
          <w:bCs/>
          <w:sz w:val="30"/>
          <w:szCs w:val="30"/>
        </w:rPr>
        <w:t xml:space="preserve">附件一：HL100芯片核心参数与HL系列产品路线</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tcBorders>
              <w:top w:val="single" w:color="000000" w:sz="4"/>
              <w:left w:val="single" w:color="000000" w:sz="4"/>
              <w:bottom w:val="single" w:color="000000" w:sz="4"/>
              <w:right w:val="single" w:color="000000" w:sz="4"/>
            </w:tcBorders>
            <w:shd w:fill="E8E8E8" w:val="clear"/>
            <w:tcMar>
              <w:top w:type="dxa" w:w="80"/>
              <w:left w:type="dxa" w:w="120"/>
              <w:bottom w:type="dxa" w:w="80"/>
              <w:right w:type="dxa" w:w="120"/>
            </w:tcMar>
            <w:vAlign w:val="center"/>
          </w:tcPr>
          <w:p>
            <w:pPr>
              <w:spacing w:line="300" w:lineRule="auto"/>
              <w:jc w:val="center"/>
            </w:pPr>
            <w:r>
              <w:rPr>
                <w:rFonts w:ascii="Times New Roman" w:eastAsia="宋体" w:hAnsi="Times New Roman"/>
                <w:b/>
                <w:bCs/>
                <w:sz w:val="22"/>
                <w:szCs w:val="22"/>
              </w:rPr>
              <w:t xml:space="preserve">维度</w:t>
            </w:r>
          </w:p>
        </w:tc>
        <w:tc>
          <w:tcPr>
            <w:tcW w:type="dxa" w:w="6426"/>
            <w:tcBorders>
              <w:top w:val="single" w:color="000000" w:sz="4"/>
              <w:left w:val="single" w:color="000000" w:sz="4"/>
              <w:bottom w:val="single" w:color="000000" w:sz="4"/>
              <w:right w:val="single" w:color="000000" w:sz="4"/>
            </w:tcBorders>
            <w:shd w:fill="E8E8E8" w:val="clear"/>
            <w:tcMar>
              <w:top w:type="dxa" w:w="80"/>
              <w:left w:type="dxa" w:w="120"/>
              <w:bottom w:type="dxa" w:w="80"/>
              <w:right w:type="dxa" w:w="120"/>
            </w:tcMar>
            <w:vAlign w:val="center"/>
          </w:tcPr>
          <w:p>
            <w:pPr>
              <w:spacing w:line="300" w:lineRule="auto"/>
              <w:jc w:val="center"/>
            </w:pPr>
            <w:r>
              <w:rPr>
                <w:rFonts w:ascii="Times New Roman" w:eastAsia="宋体" w:hAnsi="Times New Roman"/>
                <w:b/>
                <w:bCs/>
                <w:sz w:val="22"/>
                <w:szCs w:val="22"/>
              </w:rPr>
              <w:t xml:space="preserve">内容</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芯片型号</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HL100（全国产AI大算力芯片）</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架构</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自研新一代“GPGPU+NPU”融合架构</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算力</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FP16算力256 TFLOPS</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显存</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LPDDR5，单芯支持128GB超大容量</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实测能耗</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低至65.33瓦（工信部权威机构测评）</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能效比</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突破3.41 TFLOPS/W</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对标优势</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同等功耗下算力达国外同类AI芯片8倍，同等算力下总拥有成本仅为1/4</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集群布局</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多形态超节点乃至千卡集群</w:t>
            </w:r>
          </w:p>
        </w:tc>
      </w:tr>
      <w:tr>
        <w:tc>
          <w:tcPr>
            <w:tcW w:type="dxa" w:w="26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产品路线</w:t>
            </w:r>
          </w:p>
        </w:tc>
        <w:tc>
          <w:tcPr>
            <w:tcW w:type="dxa" w:w="64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HL200、HL200Pro、HL400AI（规划）</w:t>
            </w:r>
          </w:p>
        </w:tc>
      </w:tr>
    </w:tbl>
    <w:p/>
    <w:p>
      <w:pPr>
        <w:spacing w:after="160" w:before="280"/>
      </w:pPr>
      <w:r>
        <w:rPr>
          <w:rFonts w:ascii="Times New Roman" w:eastAsia="黑体" w:hAnsi="Times New Roman"/>
          <w:b/>
          <w:bCs/>
          <w:sz w:val="30"/>
          <w:szCs w:val="30"/>
        </w:rPr>
        <w:t xml:space="preserve">附件二：重点合作方向一览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000000" w:sz="4"/>
              <w:left w:val="single" w:color="000000" w:sz="4"/>
              <w:bottom w:val="single" w:color="000000" w:sz="4"/>
              <w:right w:val="single" w:color="000000" w:sz="4"/>
            </w:tcBorders>
            <w:shd w:fill="E8E8E8" w:val="clear"/>
            <w:tcMar>
              <w:top w:type="dxa" w:w="80"/>
              <w:left w:type="dxa" w:w="120"/>
              <w:bottom w:type="dxa" w:w="80"/>
              <w:right w:type="dxa" w:w="120"/>
            </w:tcMar>
            <w:vAlign w:val="center"/>
          </w:tcPr>
          <w:p>
            <w:pPr>
              <w:spacing w:line="300" w:lineRule="auto"/>
              <w:jc w:val="center"/>
            </w:pPr>
            <w:r>
              <w:rPr>
                <w:rFonts w:ascii="Times New Roman" w:eastAsia="宋体" w:hAnsi="Times New Roman"/>
                <w:b/>
                <w:bCs/>
                <w:sz w:val="22"/>
                <w:szCs w:val="22"/>
              </w:rPr>
              <w:t xml:space="preserve">合作方向</w:t>
            </w:r>
          </w:p>
        </w:tc>
        <w:tc>
          <w:tcPr>
            <w:tcW w:type="dxa" w:w="6226"/>
            <w:tcBorders>
              <w:top w:val="single" w:color="000000" w:sz="4"/>
              <w:left w:val="single" w:color="000000" w:sz="4"/>
              <w:bottom w:val="single" w:color="000000" w:sz="4"/>
              <w:right w:val="single" w:color="000000" w:sz="4"/>
            </w:tcBorders>
            <w:shd w:fill="E8E8E8" w:val="clear"/>
            <w:tcMar>
              <w:top w:type="dxa" w:w="80"/>
              <w:left w:type="dxa" w:w="120"/>
              <w:bottom w:type="dxa" w:w="80"/>
              <w:right w:type="dxa" w:w="120"/>
            </w:tcMar>
            <w:vAlign w:val="center"/>
          </w:tcPr>
          <w:p>
            <w:pPr>
              <w:spacing w:line="300" w:lineRule="auto"/>
              <w:jc w:val="center"/>
            </w:pPr>
            <w:r>
              <w:rPr>
                <w:rFonts w:ascii="Times New Roman" w:eastAsia="宋体" w:hAnsi="Times New Roman"/>
                <w:b/>
                <w:bCs/>
                <w:sz w:val="22"/>
                <w:szCs w:val="22"/>
              </w:rPr>
              <w:t xml:space="preserve">核心内容</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产品与方案融合</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HL系列芯片+液冷散热+数据中心一体化解决方案，一站式交付</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楷德悠云深度合作</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HL系列产品优先部署，打造国产算力生态示范智算中心</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超节点液冷研发</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PUE≤1.05，冷板式/浸没式/两相技术路线，成果全国推广</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太空算力热控研发</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航天级液冷模块、辐射散热板、星载芯片热控、空地协同热管理</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绿色算力协同</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“风光储+算力+液冷”一体化，零碳算力园区联合拓展</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算力Token化运营</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国产算力按量交付，构建“生产—调度—消纳”运营闭环</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市场与生态共建</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联合投标、渠道共享、行业大会、标准共建</w:t>
            </w:r>
          </w:p>
        </w:tc>
      </w:tr>
      <w:tr>
        <w:tc>
          <w:tcPr>
            <w:tcW w:type="dxa" w:w="2800"/>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center"/>
            </w:pPr>
            <w:r>
              <w:rPr>
                <w:rFonts w:ascii="Times New Roman" w:eastAsia="宋体" w:hAnsi="Times New Roman"/>
                <w:b w:val="false"/>
                <w:bCs w:val="false"/>
                <w:sz w:val="22"/>
                <w:szCs w:val="22"/>
              </w:rPr>
              <w:t xml:space="preserve">供应链协同</w:t>
            </w:r>
          </w:p>
        </w:tc>
        <w:tc>
          <w:tcPr>
            <w:tcW w:type="dxa" w:w="6226"/>
            <w:tcBorders>
              <w:top w:val="single" w:color="000000" w:sz="4"/>
              <w:left w:val="single" w:color="000000" w:sz="4"/>
              <w:bottom w:val="single" w:color="000000" w:sz="4"/>
              <w:right w:val="single" w:color="000000" w:sz="4"/>
            </w:tcBorders>
            <w:tcMar>
              <w:top w:type="dxa" w:w="80"/>
              <w:left w:type="dxa" w:w="120"/>
              <w:bottom w:type="dxa" w:w="80"/>
              <w:right w:type="dxa" w:w="120"/>
            </w:tcMar>
            <w:vAlign w:val="center"/>
          </w:tcPr>
          <w:p>
            <w:pPr>
              <w:spacing w:line="300" w:lineRule="auto"/>
              <w:jc w:val="left"/>
            </w:pPr>
            <w:r>
              <w:rPr>
                <w:rFonts w:ascii="Times New Roman" w:eastAsia="宋体" w:hAnsi="Times New Roman"/>
                <w:b w:val="false"/>
                <w:bCs w:val="false"/>
                <w:sz w:val="22"/>
                <w:szCs w:val="22"/>
              </w:rPr>
              <w:t xml:space="preserve">液冷产品优先供应超节点产线，环境控制设备优先采购</w:t>
            </w:r>
          </w:p>
        </w:tc>
      </w:tr>
    </w:tbl>
    <w:p/>
    <w:p>
      <w:pPr>
        <w:spacing w:after="60" w:line="360" w:lineRule="auto"/>
        <w:ind w:firstLine="480"/>
      </w:pPr>
      <w:r>
        <w:rPr>
          <w:rFonts w:ascii="Times New Roman" w:eastAsia="宋体" w:hAnsi="Times New Roman"/>
          <w:sz w:val="24"/>
          <w:szCs w:val="24"/>
        </w:rPr>
        <w:t xml:space="preserve">（本附件仅为协议核心内容的摘要提示，不作为协议正文条款；如与协议正文不一致的，以协议正文为准。）</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2026-08-13T17:13:13.929Z</dcterms:created>
  <dcterms:modified xsi:type="dcterms:W3CDTF">2026-08-13T17:13:13.929Z</dcterms:modified>
</cp:coreProperties>
</file>

<file path=docProps/custom.xml><?xml version="1.0" encoding="utf-8"?>
<Properties xmlns="http://schemas.openxmlformats.org/officeDocument/2006/custom-properties" xmlns:vt="http://schemas.openxmlformats.org/officeDocument/2006/docPropsVTypes"/>
</file>